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4C9E64" w14:textId="2F984E4B" w:rsidR="009859E3" w:rsidRDefault="009859E3" w:rsidP="009859E3">
      <w:pPr>
        <w:rPr>
          <w:rFonts w:ascii="Times New Roman" w:hAnsi="Times New Roman" w:cs="Times New Roman"/>
          <w:sz w:val="24"/>
          <w:szCs w:val="24"/>
        </w:rPr>
      </w:pPr>
      <w:r w:rsidRPr="009859E3">
        <w:rPr>
          <w:rFonts w:ascii="Times New Roman" w:hAnsi="Times New Roman" w:cs="Times New Roman"/>
          <w:sz w:val="24"/>
          <w:szCs w:val="24"/>
        </w:rPr>
        <w:t>Mid</w:t>
      </w:r>
      <w:r>
        <w:rPr>
          <w:rFonts w:ascii="Times New Roman" w:hAnsi="Times New Roman" w:cs="Times New Roman"/>
          <w:sz w:val="24"/>
          <w:szCs w:val="24"/>
        </w:rPr>
        <w:t>-</w:t>
      </w:r>
      <w:r w:rsidRPr="009859E3">
        <w:rPr>
          <w:rFonts w:ascii="Times New Roman" w:hAnsi="Times New Roman" w:cs="Times New Roman"/>
          <w:sz w:val="24"/>
          <w:szCs w:val="24"/>
        </w:rPr>
        <w:t>term exam</w:t>
      </w:r>
    </w:p>
    <w:p w14:paraId="51FACF80" w14:textId="18D4CD3D" w:rsidR="009859E3" w:rsidRPr="009859E3" w:rsidRDefault="00AA33D5" w:rsidP="009859E3">
      <w:pPr>
        <w:rPr>
          <w:rFonts w:ascii="Times New Roman" w:hAnsi="Times New Roman" w:cs="Times New Roman"/>
          <w:sz w:val="24"/>
          <w:szCs w:val="24"/>
        </w:rPr>
      </w:pPr>
      <w:r>
        <w:rPr>
          <w:rFonts w:ascii="Times New Roman" w:hAnsi="Times New Roman" w:cs="Times New Roman"/>
          <w:sz w:val="24"/>
          <w:szCs w:val="24"/>
        </w:rPr>
        <w:t>No 1</w:t>
      </w:r>
    </w:p>
    <w:p w14:paraId="1DF75591" w14:textId="2E5B97B6" w:rsidR="009859E3" w:rsidRPr="009859E3" w:rsidRDefault="009859E3" w:rsidP="009859E3">
      <w:pPr>
        <w:pStyle w:val="ListParagraph"/>
        <w:numPr>
          <w:ilvl w:val="0"/>
          <w:numId w:val="1"/>
        </w:numPr>
        <w:rPr>
          <w:rFonts w:ascii="Times New Roman" w:hAnsi="Times New Roman" w:cs="Times New Roman"/>
          <w:sz w:val="24"/>
          <w:szCs w:val="24"/>
        </w:rPr>
      </w:pPr>
      <w:r w:rsidRPr="009859E3">
        <w:rPr>
          <w:rFonts w:ascii="Times New Roman" w:hAnsi="Times New Roman" w:cs="Times New Roman"/>
          <w:sz w:val="24"/>
          <w:szCs w:val="24"/>
        </w:rPr>
        <w:t xml:space="preserve">For each year form a percentage summary table for the types of drinks. </w:t>
      </w:r>
    </w:p>
    <w:tbl>
      <w:tblPr>
        <w:tblW w:w="2880" w:type="dxa"/>
        <w:tblInd w:w="612" w:type="dxa"/>
        <w:tblLook w:val="04A0" w:firstRow="1" w:lastRow="0" w:firstColumn="1" w:lastColumn="0" w:noHBand="0" w:noVBand="1"/>
      </w:tblPr>
      <w:tblGrid>
        <w:gridCol w:w="960"/>
        <w:gridCol w:w="960"/>
        <w:gridCol w:w="960"/>
      </w:tblGrid>
      <w:tr w:rsidR="009859E3" w:rsidRPr="009859E3" w14:paraId="40D98947" w14:textId="77777777" w:rsidTr="00590A96">
        <w:trPr>
          <w:trHeight w:val="255"/>
        </w:trPr>
        <w:tc>
          <w:tcPr>
            <w:tcW w:w="2880" w:type="dxa"/>
            <w:gridSpan w:val="3"/>
            <w:tcBorders>
              <w:top w:val="nil"/>
              <w:left w:val="nil"/>
              <w:bottom w:val="nil"/>
              <w:right w:val="nil"/>
            </w:tcBorders>
            <w:shd w:val="clear" w:color="auto" w:fill="auto"/>
            <w:noWrap/>
            <w:vAlign w:val="bottom"/>
            <w:hideMark/>
          </w:tcPr>
          <w:p w14:paraId="71255923" w14:textId="77777777" w:rsidR="009859E3" w:rsidRPr="009859E3" w:rsidRDefault="009859E3" w:rsidP="009859E3">
            <w:pPr>
              <w:spacing w:after="0" w:line="240" w:lineRule="auto"/>
              <w:jc w:val="center"/>
              <w:rPr>
                <w:rFonts w:ascii="Arial" w:eastAsia="Times New Roman" w:hAnsi="Arial" w:cs="Arial"/>
                <w:sz w:val="20"/>
                <w:szCs w:val="20"/>
              </w:rPr>
            </w:pPr>
            <w:r w:rsidRPr="009859E3">
              <w:rPr>
                <w:rFonts w:ascii="Arial" w:eastAsia="Times New Roman" w:hAnsi="Arial" w:cs="Arial"/>
                <w:sz w:val="20"/>
                <w:szCs w:val="20"/>
              </w:rPr>
              <w:t>Percentage Summary</w:t>
            </w:r>
          </w:p>
        </w:tc>
      </w:tr>
      <w:tr w:rsidR="009859E3" w:rsidRPr="009859E3" w14:paraId="6D6E785B" w14:textId="77777777" w:rsidTr="00590A96">
        <w:trPr>
          <w:trHeight w:val="255"/>
        </w:trPr>
        <w:tc>
          <w:tcPr>
            <w:tcW w:w="960" w:type="dxa"/>
            <w:tcBorders>
              <w:top w:val="nil"/>
              <w:left w:val="nil"/>
              <w:bottom w:val="nil"/>
              <w:right w:val="nil"/>
            </w:tcBorders>
            <w:shd w:val="clear" w:color="auto" w:fill="auto"/>
            <w:noWrap/>
            <w:vAlign w:val="bottom"/>
            <w:hideMark/>
          </w:tcPr>
          <w:p w14:paraId="7474427B"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2017</w:t>
            </w:r>
          </w:p>
        </w:tc>
        <w:tc>
          <w:tcPr>
            <w:tcW w:w="960" w:type="dxa"/>
            <w:tcBorders>
              <w:top w:val="nil"/>
              <w:left w:val="nil"/>
              <w:bottom w:val="nil"/>
              <w:right w:val="nil"/>
            </w:tcBorders>
            <w:shd w:val="clear" w:color="auto" w:fill="auto"/>
            <w:noWrap/>
            <w:vAlign w:val="bottom"/>
            <w:hideMark/>
          </w:tcPr>
          <w:p w14:paraId="2B2752C9"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2018</w:t>
            </w:r>
          </w:p>
        </w:tc>
        <w:tc>
          <w:tcPr>
            <w:tcW w:w="960" w:type="dxa"/>
            <w:tcBorders>
              <w:top w:val="nil"/>
              <w:left w:val="nil"/>
              <w:bottom w:val="nil"/>
              <w:right w:val="nil"/>
            </w:tcBorders>
            <w:shd w:val="clear" w:color="auto" w:fill="auto"/>
            <w:noWrap/>
            <w:vAlign w:val="bottom"/>
            <w:hideMark/>
          </w:tcPr>
          <w:p w14:paraId="1E9FA44A"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2019</w:t>
            </w:r>
          </w:p>
        </w:tc>
      </w:tr>
      <w:tr w:rsidR="009859E3" w:rsidRPr="009859E3" w14:paraId="6330B2BD" w14:textId="77777777" w:rsidTr="00590A96">
        <w:trPr>
          <w:trHeight w:val="255"/>
        </w:trPr>
        <w:tc>
          <w:tcPr>
            <w:tcW w:w="960" w:type="dxa"/>
            <w:tcBorders>
              <w:top w:val="nil"/>
              <w:left w:val="nil"/>
              <w:bottom w:val="nil"/>
              <w:right w:val="nil"/>
            </w:tcBorders>
            <w:shd w:val="clear" w:color="auto" w:fill="auto"/>
            <w:noWrap/>
            <w:vAlign w:val="bottom"/>
            <w:hideMark/>
          </w:tcPr>
          <w:p w14:paraId="420C3438"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12.9%</w:t>
            </w:r>
          </w:p>
        </w:tc>
        <w:tc>
          <w:tcPr>
            <w:tcW w:w="960" w:type="dxa"/>
            <w:tcBorders>
              <w:top w:val="nil"/>
              <w:left w:val="nil"/>
              <w:bottom w:val="nil"/>
              <w:right w:val="nil"/>
            </w:tcBorders>
            <w:shd w:val="clear" w:color="auto" w:fill="auto"/>
            <w:noWrap/>
            <w:vAlign w:val="bottom"/>
            <w:hideMark/>
          </w:tcPr>
          <w:p w14:paraId="693C173E"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14.8%</w:t>
            </w:r>
          </w:p>
        </w:tc>
        <w:tc>
          <w:tcPr>
            <w:tcW w:w="960" w:type="dxa"/>
            <w:tcBorders>
              <w:top w:val="nil"/>
              <w:left w:val="nil"/>
              <w:bottom w:val="nil"/>
              <w:right w:val="nil"/>
            </w:tcBorders>
            <w:shd w:val="clear" w:color="auto" w:fill="auto"/>
            <w:noWrap/>
            <w:vAlign w:val="bottom"/>
            <w:hideMark/>
          </w:tcPr>
          <w:p w14:paraId="415489A1"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16.5%</w:t>
            </w:r>
          </w:p>
        </w:tc>
      </w:tr>
      <w:tr w:rsidR="009859E3" w:rsidRPr="009859E3" w14:paraId="530DF849" w14:textId="77777777" w:rsidTr="00590A96">
        <w:trPr>
          <w:trHeight w:val="255"/>
        </w:trPr>
        <w:tc>
          <w:tcPr>
            <w:tcW w:w="960" w:type="dxa"/>
            <w:tcBorders>
              <w:top w:val="nil"/>
              <w:left w:val="nil"/>
              <w:bottom w:val="nil"/>
              <w:right w:val="nil"/>
            </w:tcBorders>
            <w:shd w:val="clear" w:color="auto" w:fill="auto"/>
            <w:noWrap/>
            <w:vAlign w:val="bottom"/>
            <w:hideMark/>
          </w:tcPr>
          <w:p w14:paraId="5E45E0EA"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0.5%</w:t>
            </w:r>
          </w:p>
        </w:tc>
        <w:tc>
          <w:tcPr>
            <w:tcW w:w="960" w:type="dxa"/>
            <w:tcBorders>
              <w:top w:val="nil"/>
              <w:left w:val="nil"/>
              <w:bottom w:val="nil"/>
              <w:right w:val="nil"/>
            </w:tcBorders>
            <w:shd w:val="clear" w:color="auto" w:fill="auto"/>
            <w:noWrap/>
            <w:vAlign w:val="bottom"/>
            <w:hideMark/>
          </w:tcPr>
          <w:p w14:paraId="39D24C32"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0.4%</w:t>
            </w:r>
          </w:p>
        </w:tc>
        <w:tc>
          <w:tcPr>
            <w:tcW w:w="960" w:type="dxa"/>
            <w:tcBorders>
              <w:top w:val="nil"/>
              <w:left w:val="nil"/>
              <w:bottom w:val="nil"/>
              <w:right w:val="nil"/>
            </w:tcBorders>
            <w:shd w:val="clear" w:color="auto" w:fill="auto"/>
            <w:noWrap/>
            <w:vAlign w:val="bottom"/>
            <w:hideMark/>
          </w:tcPr>
          <w:p w14:paraId="53C1F62D"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0.4%</w:t>
            </w:r>
          </w:p>
        </w:tc>
      </w:tr>
      <w:tr w:rsidR="009859E3" w:rsidRPr="009859E3" w14:paraId="245F2A38" w14:textId="77777777" w:rsidTr="00590A96">
        <w:trPr>
          <w:trHeight w:val="255"/>
        </w:trPr>
        <w:tc>
          <w:tcPr>
            <w:tcW w:w="960" w:type="dxa"/>
            <w:tcBorders>
              <w:top w:val="nil"/>
              <w:left w:val="nil"/>
              <w:bottom w:val="nil"/>
              <w:right w:val="nil"/>
            </w:tcBorders>
            <w:shd w:val="clear" w:color="auto" w:fill="auto"/>
            <w:noWrap/>
            <w:vAlign w:val="bottom"/>
            <w:hideMark/>
          </w:tcPr>
          <w:p w14:paraId="59FADD7D"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6.2%</w:t>
            </w:r>
          </w:p>
        </w:tc>
        <w:tc>
          <w:tcPr>
            <w:tcW w:w="960" w:type="dxa"/>
            <w:tcBorders>
              <w:top w:val="nil"/>
              <w:left w:val="nil"/>
              <w:bottom w:val="nil"/>
              <w:right w:val="nil"/>
            </w:tcBorders>
            <w:shd w:val="clear" w:color="auto" w:fill="auto"/>
            <w:noWrap/>
            <w:vAlign w:val="bottom"/>
            <w:hideMark/>
          </w:tcPr>
          <w:p w14:paraId="080FDD81"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6.9%</w:t>
            </w:r>
          </w:p>
        </w:tc>
        <w:tc>
          <w:tcPr>
            <w:tcW w:w="960" w:type="dxa"/>
            <w:tcBorders>
              <w:top w:val="nil"/>
              <w:left w:val="nil"/>
              <w:bottom w:val="nil"/>
              <w:right w:val="nil"/>
            </w:tcBorders>
            <w:shd w:val="clear" w:color="auto" w:fill="auto"/>
            <w:noWrap/>
            <w:vAlign w:val="bottom"/>
            <w:hideMark/>
          </w:tcPr>
          <w:p w14:paraId="63B15037"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9.6%</w:t>
            </w:r>
          </w:p>
        </w:tc>
      </w:tr>
      <w:tr w:rsidR="009859E3" w:rsidRPr="009859E3" w14:paraId="02671AD3" w14:textId="77777777" w:rsidTr="00590A96">
        <w:trPr>
          <w:trHeight w:val="255"/>
        </w:trPr>
        <w:tc>
          <w:tcPr>
            <w:tcW w:w="960" w:type="dxa"/>
            <w:tcBorders>
              <w:top w:val="nil"/>
              <w:left w:val="nil"/>
              <w:bottom w:val="nil"/>
              <w:right w:val="nil"/>
            </w:tcBorders>
            <w:shd w:val="clear" w:color="auto" w:fill="auto"/>
            <w:noWrap/>
            <w:vAlign w:val="bottom"/>
            <w:hideMark/>
          </w:tcPr>
          <w:p w14:paraId="71E370D2"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70.0%</w:t>
            </w:r>
          </w:p>
        </w:tc>
        <w:tc>
          <w:tcPr>
            <w:tcW w:w="960" w:type="dxa"/>
            <w:tcBorders>
              <w:top w:val="nil"/>
              <w:left w:val="nil"/>
              <w:bottom w:val="nil"/>
              <w:right w:val="nil"/>
            </w:tcBorders>
            <w:shd w:val="clear" w:color="auto" w:fill="auto"/>
            <w:noWrap/>
            <w:vAlign w:val="bottom"/>
            <w:hideMark/>
          </w:tcPr>
          <w:p w14:paraId="3D6C1742"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64.4%</w:t>
            </w:r>
          </w:p>
        </w:tc>
        <w:tc>
          <w:tcPr>
            <w:tcW w:w="960" w:type="dxa"/>
            <w:tcBorders>
              <w:top w:val="nil"/>
              <w:left w:val="nil"/>
              <w:bottom w:val="nil"/>
              <w:right w:val="nil"/>
            </w:tcBorders>
            <w:shd w:val="clear" w:color="auto" w:fill="auto"/>
            <w:noWrap/>
            <w:vAlign w:val="bottom"/>
            <w:hideMark/>
          </w:tcPr>
          <w:p w14:paraId="76C51943"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57.1%</w:t>
            </w:r>
          </w:p>
        </w:tc>
      </w:tr>
      <w:tr w:rsidR="009859E3" w:rsidRPr="009859E3" w14:paraId="34F3743B" w14:textId="77777777" w:rsidTr="00590A96">
        <w:trPr>
          <w:trHeight w:val="255"/>
        </w:trPr>
        <w:tc>
          <w:tcPr>
            <w:tcW w:w="960" w:type="dxa"/>
            <w:tcBorders>
              <w:top w:val="nil"/>
              <w:left w:val="nil"/>
              <w:bottom w:val="nil"/>
              <w:right w:val="nil"/>
            </w:tcBorders>
            <w:shd w:val="clear" w:color="auto" w:fill="auto"/>
            <w:noWrap/>
            <w:vAlign w:val="bottom"/>
            <w:hideMark/>
          </w:tcPr>
          <w:p w14:paraId="487CD151"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7.5%</w:t>
            </w:r>
          </w:p>
        </w:tc>
        <w:tc>
          <w:tcPr>
            <w:tcW w:w="960" w:type="dxa"/>
            <w:tcBorders>
              <w:top w:val="nil"/>
              <w:left w:val="nil"/>
              <w:bottom w:val="nil"/>
              <w:right w:val="nil"/>
            </w:tcBorders>
            <w:shd w:val="clear" w:color="auto" w:fill="auto"/>
            <w:noWrap/>
            <w:vAlign w:val="bottom"/>
            <w:hideMark/>
          </w:tcPr>
          <w:p w14:paraId="7776E0E6"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10.0%</w:t>
            </w:r>
          </w:p>
        </w:tc>
        <w:tc>
          <w:tcPr>
            <w:tcW w:w="960" w:type="dxa"/>
            <w:tcBorders>
              <w:top w:val="nil"/>
              <w:left w:val="nil"/>
              <w:bottom w:val="nil"/>
              <w:right w:val="nil"/>
            </w:tcBorders>
            <w:shd w:val="clear" w:color="auto" w:fill="auto"/>
            <w:noWrap/>
            <w:vAlign w:val="bottom"/>
            <w:hideMark/>
          </w:tcPr>
          <w:p w14:paraId="269ECB8C"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13.4%</w:t>
            </w:r>
          </w:p>
        </w:tc>
      </w:tr>
      <w:tr w:rsidR="009859E3" w:rsidRPr="009859E3" w14:paraId="139E71BB" w14:textId="77777777" w:rsidTr="00590A96">
        <w:trPr>
          <w:trHeight w:val="255"/>
        </w:trPr>
        <w:tc>
          <w:tcPr>
            <w:tcW w:w="960" w:type="dxa"/>
            <w:tcBorders>
              <w:top w:val="nil"/>
              <w:left w:val="nil"/>
              <w:bottom w:val="nil"/>
              <w:right w:val="nil"/>
            </w:tcBorders>
            <w:shd w:val="clear" w:color="auto" w:fill="auto"/>
            <w:noWrap/>
            <w:vAlign w:val="bottom"/>
            <w:hideMark/>
          </w:tcPr>
          <w:p w14:paraId="7ABEC203"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2.9%</w:t>
            </w:r>
          </w:p>
        </w:tc>
        <w:tc>
          <w:tcPr>
            <w:tcW w:w="960" w:type="dxa"/>
            <w:tcBorders>
              <w:top w:val="nil"/>
              <w:left w:val="nil"/>
              <w:bottom w:val="nil"/>
              <w:right w:val="nil"/>
            </w:tcBorders>
            <w:shd w:val="clear" w:color="auto" w:fill="auto"/>
            <w:noWrap/>
            <w:vAlign w:val="bottom"/>
            <w:hideMark/>
          </w:tcPr>
          <w:p w14:paraId="0325F158"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3.5%</w:t>
            </w:r>
          </w:p>
        </w:tc>
        <w:tc>
          <w:tcPr>
            <w:tcW w:w="960" w:type="dxa"/>
            <w:tcBorders>
              <w:top w:val="nil"/>
              <w:left w:val="nil"/>
              <w:bottom w:val="nil"/>
              <w:right w:val="nil"/>
            </w:tcBorders>
            <w:shd w:val="clear" w:color="auto" w:fill="auto"/>
            <w:noWrap/>
            <w:vAlign w:val="bottom"/>
            <w:hideMark/>
          </w:tcPr>
          <w:p w14:paraId="61A86102" w14:textId="77777777" w:rsidR="009859E3" w:rsidRPr="009859E3" w:rsidRDefault="009859E3" w:rsidP="009859E3">
            <w:pPr>
              <w:spacing w:after="0" w:line="240" w:lineRule="auto"/>
              <w:jc w:val="right"/>
              <w:rPr>
                <w:rFonts w:ascii="Arial" w:eastAsia="Times New Roman" w:hAnsi="Arial" w:cs="Arial"/>
                <w:sz w:val="20"/>
                <w:szCs w:val="20"/>
              </w:rPr>
            </w:pPr>
            <w:r w:rsidRPr="009859E3">
              <w:rPr>
                <w:rFonts w:ascii="Arial" w:eastAsia="Times New Roman" w:hAnsi="Arial" w:cs="Arial"/>
                <w:sz w:val="20"/>
                <w:szCs w:val="20"/>
              </w:rPr>
              <w:t>3.0%</w:t>
            </w:r>
          </w:p>
        </w:tc>
      </w:tr>
    </w:tbl>
    <w:p w14:paraId="16E01A3F" w14:textId="77777777" w:rsidR="009859E3" w:rsidRPr="009859E3" w:rsidRDefault="009859E3" w:rsidP="009859E3">
      <w:pPr>
        <w:pStyle w:val="ListParagraph"/>
        <w:rPr>
          <w:rFonts w:ascii="Times New Roman" w:hAnsi="Times New Roman" w:cs="Times New Roman"/>
          <w:sz w:val="24"/>
          <w:szCs w:val="24"/>
        </w:rPr>
      </w:pPr>
    </w:p>
    <w:p w14:paraId="349A5D04" w14:textId="5EC4BC57" w:rsidR="009859E3" w:rsidRPr="00590A96" w:rsidRDefault="009859E3" w:rsidP="00590A96">
      <w:pPr>
        <w:pStyle w:val="ListParagraph"/>
        <w:numPr>
          <w:ilvl w:val="0"/>
          <w:numId w:val="1"/>
        </w:numPr>
        <w:rPr>
          <w:rFonts w:ascii="Times New Roman" w:hAnsi="Times New Roman" w:cs="Times New Roman"/>
          <w:sz w:val="24"/>
          <w:szCs w:val="24"/>
        </w:rPr>
      </w:pPr>
      <w:r w:rsidRPr="00590A96">
        <w:rPr>
          <w:rFonts w:ascii="Times New Roman" w:hAnsi="Times New Roman" w:cs="Times New Roman"/>
          <w:sz w:val="24"/>
          <w:szCs w:val="24"/>
        </w:rPr>
        <w:t xml:space="preserve">For each year, construct a bar chart, and a pie chart. </w:t>
      </w:r>
    </w:p>
    <w:p w14:paraId="3E79B941" w14:textId="67D04FD6" w:rsidR="00590A96" w:rsidRDefault="00590A96" w:rsidP="00590A96">
      <w:pPr>
        <w:pStyle w:val="ListParagraph"/>
        <w:rPr>
          <w:rFonts w:ascii="Times New Roman" w:hAnsi="Times New Roman" w:cs="Times New Roman"/>
          <w:sz w:val="24"/>
          <w:szCs w:val="24"/>
        </w:rPr>
      </w:pPr>
      <w:r>
        <w:rPr>
          <w:noProof/>
        </w:rPr>
        <w:drawing>
          <wp:inline distT="0" distB="0" distL="0" distR="0" wp14:anchorId="3D93C4A5" wp14:editId="5636B72B">
            <wp:extent cx="4572000" cy="201930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9B6DF73-FF23-47CC-B723-EC8FA30D85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8297C92" w14:textId="11B24B6A" w:rsidR="00590A96" w:rsidRDefault="00590A96" w:rsidP="00590A96">
      <w:pPr>
        <w:pStyle w:val="ListParagraph"/>
        <w:rPr>
          <w:rFonts w:ascii="Times New Roman" w:hAnsi="Times New Roman" w:cs="Times New Roman"/>
          <w:sz w:val="24"/>
          <w:szCs w:val="24"/>
        </w:rPr>
      </w:pPr>
      <w:r>
        <w:rPr>
          <w:noProof/>
        </w:rPr>
        <w:drawing>
          <wp:inline distT="0" distB="0" distL="0" distR="0" wp14:anchorId="7AC2F8E6" wp14:editId="78528B2E">
            <wp:extent cx="4572000" cy="2219325"/>
            <wp:effectExtent l="0" t="0" r="0" b="9525"/>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36E6D85-1928-41C3-B429-37ACB5280D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003E3F9" w14:textId="08B7294D" w:rsidR="00590A96" w:rsidRDefault="00590A96" w:rsidP="00590A96">
      <w:pPr>
        <w:pStyle w:val="ListParagraph"/>
        <w:rPr>
          <w:rFonts w:ascii="Times New Roman" w:hAnsi="Times New Roman" w:cs="Times New Roman"/>
          <w:sz w:val="24"/>
          <w:szCs w:val="24"/>
        </w:rPr>
      </w:pPr>
      <w:r>
        <w:rPr>
          <w:noProof/>
        </w:rPr>
        <w:lastRenderedPageBreak/>
        <w:drawing>
          <wp:inline distT="0" distB="0" distL="0" distR="0" wp14:anchorId="7E6D9CED" wp14:editId="127E0CA1">
            <wp:extent cx="4572000" cy="1990725"/>
            <wp:effectExtent l="0" t="0" r="0" b="9525"/>
            <wp:docPr id="4" name="Chart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9362D49-1060-4426-989F-E276639330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5B813E9" w14:textId="45B91738" w:rsidR="00590A96" w:rsidRDefault="00590A96" w:rsidP="00590A96">
      <w:pPr>
        <w:pStyle w:val="ListParagraph"/>
        <w:rPr>
          <w:rFonts w:ascii="Times New Roman" w:hAnsi="Times New Roman" w:cs="Times New Roman"/>
          <w:sz w:val="24"/>
          <w:szCs w:val="24"/>
        </w:rPr>
      </w:pPr>
      <w:r>
        <w:rPr>
          <w:noProof/>
        </w:rPr>
        <w:drawing>
          <wp:inline distT="0" distB="0" distL="0" distR="0" wp14:anchorId="6A62926C" wp14:editId="26632CC4">
            <wp:extent cx="4572000" cy="2066925"/>
            <wp:effectExtent l="0" t="0" r="0" b="9525"/>
            <wp:docPr id="5" name="Chart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3183052-02C3-43D9-B515-710801E94F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8BCAC23" w14:textId="5739E6D4" w:rsidR="00590A96" w:rsidRDefault="00590A96" w:rsidP="00590A96">
      <w:pPr>
        <w:pStyle w:val="ListParagraph"/>
        <w:rPr>
          <w:rFonts w:ascii="Times New Roman" w:hAnsi="Times New Roman" w:cs="Times New Roman"/>
          <w:sz w:val="24"/>
          <w:szCs w:val="24"/>
        </w:rPr>
      </w:pPr>
      <w:r>
        <w:rPr>
          <w:noProof/>
        </w:rPr>
        <w:drawing>
          <wp:inline distT="0" distB="0" distL="0" distR="0" wp14:anchorId="68D786EB" wp14:editId="2D8CB9A9">
            <wp:extent cx="4572000" cy="2114550"/>
            <wp:effectExtent l="0" t="0" r="0" b="0"/>
            <wp:docPr id="6" name="Chart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92B7300-A392-456F-B69E-C1F7476EC8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5947AD" w14:textId="17C7404B" w:rsidR="00590A96" w:rsidRPr="00590A96" w:rsidRDefault="00590A96" w:rsidP="00590A96">
      <w:pPr>
        <w:pStyle w:val="ListParagraph"/>
        <w:rPr>
          <w:rFonts w:ascii="Times New Roman" w:hAnsi="Times New Roman" w:cs="Times New Roman"/>
          <w:sz w:val="24"/>
          <w:szCs w:val="24"/>
        </w:rPr>
      </w:pPr>
      <w:r>
        <w:rPr>
          <w:noProof/>
        </w:rPr>
        <w:drawing>
          <wp:inline distT="0" distB="0" distL="0" distR="0" wp14:anchorId="51FA33B8" wp14:editId="3CB5344F">
            <wp:extent cx="4572000" cy="1885950"/>
            <wp:effectExtent l="0" t="0" r="0" b="0"/>
            <wp:docPr id="7" name="Chart 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076D973-6B2E-4CC1-9F20-495C0AE908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EF24EB" w14:textId="77777777" w:rsidR="009859E3" w:rsidRPr="009859E3" w:rsidRDefault="009859E3" w:rsidP="009859E3">
      <w:pPr>
        <w:rPr>
          <w:rFonts w:ascii="Times New Roman" w:hAnsi="Times New Roman" w:cs="Times New Roman"/>
          <w:sz w:val="24"/>
          <w:szCs w:val="24"/>
        </w:rPr>
      </w:pPr>
      <w:r w:rsidRPr="009859E3">
        <w:rPr>
          <w:rFonts w:ascii="Times New Roman" w:hAnsi="Times New Roman" w:cs="Times New Roman"/>
          <w:sz w:val="24"/>
          <w:szCs w:val="24"/>
        </w:rPr>
        <w:t xml:space="preserve">c) Construct a side-by-side bar chart of the market share of the types of drinks in </w:t>
      </w:r>
    </w:p>
    <w:p w14:paraId="11680345" w14:textId="2D9322FB" w:rsidR="009859E3" w:rsidRDefault="009859E3" w:rsidP="009859E3">
      <w:pPr>
        <w:rPr>
          <w:rFonts w:ascii="Times New Roman" w:hAnsi="Times New Roman" w:cs="Times New Roman"/>
          <w:sz w:val="24"/>
          <w:szCs w:val="24"/>
        </w:rPr>
      </w:pPr>
      <w:proofErr w:type="gramStart"/>
      <w:r w:rsidRPr="009859E3">
        <w:rPr>
          <w:rFonts w:ascii="Times New Roman" w:hAnsi="Times New Roman" w:cs="Times New Roman"/>
          <w:sz w:val="24"/>
          <w:szCs w:val="24"/>
        </w:rPr>
        <w:t>2017, 2018, and 2019.</w:t>
      </w:r>
      <w:proofErr w:type="gramEnd"/>
      <w:r w:rsidRPr="009859E3">
        <w:rPr>
          <w:rFonts w:ascii="Times New Roman" w:hAnsi="Times New Roman" w:cs="Times New Roman"/>
          <w:sz w:val="24"/>
          <w:szCs w:val="24"/>
        </w:rPr>
        <w:t xml:space="preserve"> </w:t>
      </w:r>
    </w:p>
    <w:p w14:paraId="00B1B05C" w14:textId="1238E61C" w:rsidR="00ED31B8" w:rsidRPr="009859E3" w:rsidRDefault="00ED31B8" w:rsidP="009859E3">
      <w:pPr>
        <w:rPr>
          <w:rFonts w:ascii="Times New Roman" w:hAnsi="Times New Roman" w:cs="Times New Roman"/>
          <w:sz w:val="24"/>
          <w:szCs w:val="24"/>
        </w:rPr>
      </w:pPr>
      <w:r>
        <w:rPr>
          <w:noProof/>
        </w:rPr>
        <w:drawing>
          <wp:inline distT="0" distB="0" distL="0" distR="0" wp14:anchorId="2BE06CD5" wp14:editId="7C357867">
            <wp:extent cx="4572000" cy="2219325"/>
            <wp:effectExtent l="0" t="0" r="0" b="9525"/>
            <wp:docPr id="8" name="Chart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AF657C4-6040-4633-AD99-1A02AFC047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E5234DF" w14:textId="77777777" w:rsidR="009859E3" w:rsidRPr="009859E3" w:rsidRDefault="009859E3" w:rsidP="009859E3">
      <w:pPr>
        <w:rPr>
          <w:rFonts w:ascii="Times New Roman" w:hAnsi="Times New Roman" w:cs="Times New Roman"/>
          <w:sz w:val="24"/>
          <w:szCs w:val="24"/>
        </w:rPr>
      </w:pPr>
      <w:r w:rsidRPr="009859E3">
        <w:rPr>
          <w:rFonts w:ascii="Times New Roman" w:hAnsi="Times New Roman" w:cs="Times New Roman"/>
          <w:sz w:val="24"/>
          <w:szCs w:val="24"/>
        </w:rPr>
        <w:t xml:space="preserve">d) Based on the results of (a) through (c), what conclusions can be made about the </w:t>
      </w:r>
    </w:p>
    <w:p w14:paraId="01006586" w14:textId="7912AC91" w:rsidR="009859E3" w:rsidRPr="009859E3" w:rsidRDefault="00747D96" w:rsidP="009859E3">
      <w:pPr>
        <w:rPr>
          <w:rFonts w:ascii="Times New Roman" w:hAnsi="Times New Roman" w:cs="Times New Roman"/>
          <w:sz w:val="24"/>
          <w:szCs w:val="24"/>
        </w:rPr>
      </w:pPr>
      <w:proofErr w:type="gramStart"/>
      <w:r w:rsidRPr="009859E3">
        <w:rPr>
          <w:rFonts w:ascii="Times New Roman" w:hAnsi="Times New Roman" w:cs="Times New Roman"/>
          <w:sz w:val="24"/>
          <w:szCs w:val="24"/>
        </w:rPr>
        <w:t>Trend</w:t>
      </w:r>
      <w:r w:rsidR="009859E3" w:rsidRPr="009859E3">
        <w:rPr>
          <w:rFonts w:ascii="Times New Roman" w:hAnsi="Times New Roman" w:cs="Times New Roman"/>
          <w:sz w:val="24"/>
          <w:szCs w:val="24"/>
        </w:rPr>
        <w:t xml:space="preserve"> in choice of beverage from 2017 to 2019?</w:t>
      </w:r>
      <w:proofErr w:type="gramEnd"/>
    </w:p>
    <w:p w14:paraId="37F00BD5" w14:textId="26070B35" w:rsidR="009859E3" w:rsidRPr="00747D96" w:rsidRDefault="00ED31B8" w:rsidP="009859E3">
      <w:pPr>
        <w:rPr>
          <w:rFonts w:ascii="Times New Roman" w:hAnsi="Times New Roman" w:cs="Times New Roman"/>
          <w:i/>
          <w:sz w:val="24"/>
          <w:szCs w:val="24"/>
        </w:rPr>
      </w:pPr>
      <w:r w:rsidRPr="00747D96">
        <w:rPr>
          <w:rFonts w:ascii="Times New Roman" w:hAnsi="Times New Roman" w:cs="Times New Roman"/>
          <w:i/>
          <w:sz w:val="24"/>
          <w:szCs w:val="24"/>
        </w:rPr>
        <w:t>Solution</w:t>
      </w:r>
    </w:p>
    <w:p w14:paraId="3DA8AC2C" w14:textId="16E3BB0B" w:rsidR="00AA33D5" w:rsidRPr="00747D96" w:rsidRDefault="00ED31B8" w:rsidP="009859E3">
      <w:pPr>
        <w:rPr>
          <w:rFonts w:ascii="Times New Roman" w:hAnsi="Times New Roman" w:cs="Times New Roman"/>
          <w:i/>
          <w:sz w:val="24"/>
          <w:szCs w:val="24"/>
        </w:rPr>
      </w:pPr>
      <w:r w:rsidRPr="00747D96">
        <w:rPr>
          <w:rFonts w:ascii="Times New Roman" w:hAnsi="Times New Roman" w:cs="Times New Roman"/>
          <w:i/>
          <w:sz w:val="24"/>
          <w:szCs w:val="24"/>
        </w:rPr>
        <w:t xml:space="preserve">There is general increase of choice of each particular beverage as from 2017 to 2019 apart from for soft drinks and tea. </w:t>
      </w:r>
    </w:p>
    <w:p w14:paraId="40F13A40" w14:textId="5A388764" w:rsidR="00AA33D5" w:rsidRPr="00AA33D5" w:rsidRDefault="00AA33D5" w:rsidP="00AA33D5">
      <w:pPr>
        <w:rPr>
          <w:rFonts w:ascii="Times New Roman" w:hAnsi="Times New Roman" w:cs="Times New Roman"/>
          <w:sz w:val="24"/>
          <w:szCs w:val="24"/>
        </w:rPr>
      </w:pPr>
      <w:r>
        <w:rPr>
          <w:rFonts w:ascii="Times New Roman" w:hAnsi="Times New Roman" w:cs="Times New Roman"/>
          <w:sz w:val="24"/>
          <w:szCs w:val="24"/>
        </w:rPr>
        <w:t>No 2</w:t>
      </w:r>
    </w:p>
    <w:p w14:paraId="01546D84" w14:textId="4D538B9D" w:rsidR="00AA33D5" w:rsidRDefault="00AA33D5" w:rsidP="00AA33D5">
      <w:pPr>
        <w:pStyle w:val="Default"/>
        <w:numPr>
          <w:ilvl w:val="0"/>
          <w:numId w:val="2"/>
        </w:numPr>
        <w:spacing w:after="30"/>
        <w:rPr>
          <w:sz w:val="23"/>
          <w:szCs w:val="23"/>
        </w:rPr>
      </w:pPr>
      <w:r>
        <w:rPr>
          <w:sz w:val="23"/>
          <w:szCs w:val="23"/>
        </w:rPr>
        <w:t>a) Perform a summary statistics analysis. What are your observations regarding the measures of central tendency (mean,</w:t>
      </w:r>
      <w:r w:rsidR="00747D96">
        <w:rPr>
          <w:sz w:val="23"/>
          <w:szCs w:val="23"/>
        </w:rPr>
        <w:t xml:space="preserve"> </w:t>
      </w:r>
      <w:r>
        <w:rPr>
          <w:sz w:val="23"/>
          <w:szCs w:val="23"/>
        </w:rPr>
        <w:t>median,</w:t>
      </w:r>
      <w:r w:rsidR="00747D96">
        <w:rPr>
          <w:sz w:val="23"/>
          <w:szCs w:val="23"/>
        </w:rPr>
        <w:t xml:space="preserve"> </w:t>
      </w:r>
      <w:proofErr w:type="gramStart"/>
      <w:r>
        <w:rPr>
          <w:sz w:val="23"/>
          <w:szCs w:val="23"/>
        </w:rPr>
        <w:t>mode</w:t>
      </w:r>
      <w:proofErr w:type="gramEnd"/>
      <w:r>
        <w:rPr>
          <w:sz w:val="23"/>
          <w:szCs w:val="23"/>
        </w:rPr>
        <w:t xml:space="preserve">) and variability (standard deviation, range) for the data? </w:t>
      </w:r>
    </w:p>
    <w:tbl>
      <w:tblPr>
        <w:tblW w:w="3320" w:type="dxa"/>
        <w:tblLook w:val="04A0" w:firstRow="1" w:lastRow="0" w:firstColumn="1" w:lastColumn="0" w:noHBand="0" w:noVBand="1"/>
      </w:tblPr>
      <w:tblGrid>
        <w:gridCol w:w="2400"/>
        <w:gridCol w:w="995"/>
      </w:tblGrid>
      <w:tr w:rsidR="00AA33D5" w:rsidRPr="00AA33D5" w14:paraId="778804E5" w14:textId="77777777" w:rsidTr="00AA33D5">
        <w:trPr>
          <w:trHeight w:val="300"/>
        </w:trPr>
        <w:tc>
          <w:tcPr>
            <w:tcW w:w="2400" w:type="dxa"/>
            <w:tcBorders>
              <w:top w:val="nil"/>
              <w:left w:val="nil"/>
              <w:bottom w:val="nil"/>
              <w:right w:val="nil"/>
            </w:tcBorders>
            <w:shd w:val="clear" w:color="auto" w:fill="auto"/>
            <w:noWrap/>
            <w:vAlign w:val="bottom"/>
            <w:hideMark/>
          </w:tcPr>
          <w:p w14:paraId="2D6618E8" w14:textId="77777777" w:rsidR="00AA33D5" w:rsidRPr="00AA33D5" w:rsidRDefault="00AA33D5" w:rsidP="00AA33D5">
            <w:pPr>
              <w:spacing w:after="0" w:line="240" w:lineRule="auto"/>
              <w:rPr>
                <w:rFonts w:ascii="Arial" w:eastAsia="Times New Roman" w:hAnsi="Arial" w:cs="Arial"/>
                <w:sz w:val="24"/>
                <w:szCs w:val="24"/>
              </w:rPr>
            </w:pPr>
            <w:r w:rsidRPr="00AA33D5">
              <w:rPr>
                <w:rFonts w:ascii="Arial" w:eastAsia="Times New Roman" w:hAnsi="Arial" w:cs="Arial"/>
                <w:sz w:val="24"/>
                <w:szCs w:val="24"/>
              </w:rPr>
              <w:t>Descriptive statistics</w:t>
            </w:r>
          </w:p>
        </w:tc>
        <w:tc>
          <w:tcPr>
            <w:tcW w:w="920" w:type="dxa"/>
            <w:tcBorders>
              <w:top w:val="nil"/>
              <w:left w:val="nil"/>
              <w:bottom w:val="nil"/>
              <w:right w:val="nil"/>
            </w:tcBorders>
            <w:shd w:val="clear" w:color="auto" w:fill="auto"/>
            <w:noWrap/>
            <w:vAlign w:val="bottom"/>
            <w:hideMark/>
          </w:tcPr>
          <w:p w14:paraId="40D647A9" w14:textId="77777777" w:rsidR="00AA33D5" w:rsidRPr="00AA33D5" w:rsidRDefault="00AA33D5" w:rsidP="00AA33D5">
            <w:pPr>
              <w:spacing w:after="0" w:line="240" w:lineRule="auto"/>
              <w:rPr>
                <w:rFonts w:ascii="Arial" w:eastAsia="Times New Roman" w:hAnsi="Arial" w:cs="Arial"/>
                <w:sz w:val="24"/>
                <w:szCs w:val="24"/>
              </w:rPr>
            </w:pPr>
          </w:p>
        </w:tc>
      </w:tr>
      <w:tr w:rsidR="00AA33D5" w:rsidRPr="00AA33D5" w14:paraId="7C9BC6E8" w14:textId="77777777" w:rsidTr="00AA33D5">
        <w:trPr>
          <w:trHeight w:val="255"/>
        </w:trPr>
        <w:tc>
          <w:tcPr>
            <w:tcW w:w="2400" w:type="dxa"/>
            <w:tcBorders>
              <w:top w:val="nil"/>
              <w:left w:val="nil"/>
              <w:bottom w:val="nil"/>
              <w:right w:val="nil"/>
            </w:tcBorders>
            <w:shd w:val="clear" w:color="auto" w:fill="auto"/>
            <w:noWrap/>
            <w:vAlign w:val="bottom"/>
            <w:hideMark/>
          </w:tcPr>
          <w:p w14:paraId="3830B19D" w14:textId="77777777" w:rsidR="00AA33D5" w:rsidRPr="00AA33D5" w:rsidRDefault="00AA33D5" w:rsidP="00AA33D5">
            <w:pPr>
              <w:spacing w:after="0" w:line="240" w:lineRule="auto"/>
              <w:rPr>
                <w:rFonts w:ascii="Times New Roman" w:eastAsia="Times New Roman" w:hAnsi="Times New Roman" w:cs="Times New Roman"/>
                <w:sz w:val="20"/>
                <w:szCs w:val="20"/>
              </w:rPr>
            </w:pPr>
          </w:p>
        </w:tc>
        <w:tc>
          <w:tcPr>
            <w:tcW w:w="920" w:type="dxa"/>
            <w:tcBorders>
              <w:top w:val="nil"/>
              <w:left w:val="nil"/>
              <w:bottom w:val="nil"/>
              <w:right w:val="nil"/>
            </w:tcBorders>
            <w:shd w:val="clear" w:color="auto" w:fill="auto"/>
            <w:noWrap/>
            <w:vAlign w:val="bottom"/>
            <w:hideMark/>
          </w:tcPr>
          <w:p w14:paraId="3F1AA795" w14:textId="77777777" w:rsidR="00AA33D5" w:rsidRPr="00AA33D5" w:rsidRDefault="00AA33D5" w:rsidP="00AA33D5">
            <w:pPr>
              <w:spacing w:after="0" w:line="240" w:lineRule="auto"/>
              <w:rPr>
                <w:rFonts w:ascii="Times New Roman" w:eastAsia="Times New Roman" w:hAnsi="Times New Roman" w:cs="Times New Roman"/>
                <w:sz w:val="20"/>
                <w:szCs w:val="20"/>
              </w:rPr>
            </w:pPr>
          </w:p>
        </w:tc>
      </w:tr>
      <w:tr w:rsidR="00AA33D5" w:rsidRPr="00AA33D5" w14:paraId="604D9785" w14:textId="77777777" w:rsidTr="00AA33D5">
        <w:trPr>
          <w:trHeight w:val="255"/>
        </w:trPr>
        <w:tc>
          <w:tcPr>
            <w:tcW w:w="2400" w:type="dxa"/>
            <w:tcBorders>
              <w:top w:val="single" w:sz="4" w:space="0" w:color="auto"/>
              <w:left w:val="nil"/>
              <w:bottom w:val="single" w:sz="4" w:space="0" w:color="auto"/>
              <w:right w:val="nil"/>
            </w:tcBorders>
            <w:shd w:val="clear" w:color="auto" w:fill="auto"/>
            <w:noWrap/>
            <w:vAlign w:val="bottom"/>
            <w:hideMark/>
          </w:tcPr>
          <w:p w14:paraId="7F2AB2EE" w14:textId="77777777" w:rsidR="00AA33D5" w:rsidRPr="00AA33D5" w:rsidRDefault="00AA33D5" w:rsidP="00AA33D5">
            <w:pPr>
              <w:spacing w:after="0" w:line="240" w:lineRule="auto"/>
              <w:jc w:val="right"/>
              <w:rPr>
                <w:rFonts w:ascii="Arial" w:eastAsia="Times New Roman" w:hAnsi="Arial" w:cs="Arial"/>
                <w:i/>
                <w:iCs/>
                <w:sz w:val="20"/>
                <w:szCs w:val="20"/>
              </w:rPr>
            </w:pPr>
            <w:r w:rsidRPr="00AA33D5">
              <w:rPr>
                <w:rFonts w:ascii="Arial" w:eastAsia="Times New Roman" w:hAnsi="Arial" w:cs="Arial"/>
                <w:i/>
                <w:iCs/>
                <w:sz w:val="20"/>
                <w:szCs w:val="20"/>
              </w:rPr>
              <w:t> </w:t>
            </w:r>
          </w:p>
        </w:tc>
        <w:tc>
          <w:tcPr>
            <w:tcW w:w="920" w:type="dxa"/>
            <w:tcBorders>
              <w:top w:val="single" w:sz="4" w:space="0" w:color="auto"/>
              <w:left w:val="nil"/>
              <w:bottom w:val="single" w:sz="4" w:space="0" w:color="auto"/>
              <w:right w:val="nil"/>
            </w:tcBorders>
            <w:shd w:val="clear" w:color="auto" w:fill="auto"/>
            <w:noWrap/>
            <w:vAlign w:val="bottom"/>
            <w:hideMark/>
          </w:tcPr>
          <w:p w14:paraId="241F5005" w14:textId="77777777" w:rsidR="00AA33D5" w:rsidRPr="00AA33D5" w:rsidRDefault="00AA33D5" w:rsidP="00AA33D5">
            <w:pPr>
              <w:spacing w:after="0" w:line="240" w:lineRule="auto"/>
              <w:jc w:val="right"/>
              <w:rPr>
                <w:rFonts w:ascii="Arial" w:eastAsia="Times New Roman" w:hAnsi="Arial" w:cs="Arial"/>
                <w:i/>
                <w:iCs/>
                <w:sz w:val="20"/>
                <w:szCs w:val="20"/>
              </w:rPr>
            </w:pPr>
            <w:r w:rsidRPr="00AA33D5">
              <w:rPr>
                <w:rFonts w:ascii="Arial" w:eastAsia="Times New Roman" w:hAnsi="Arial" w:cs="Arial"/>
                <w:i/>
                <w:iCs/>
                <w:sz w:val="20"/>
                <w:szCs w:val="20"/>
              </w:rPr>
              <w:t xml:space="preserve">data </w:t>
            </w:r>
          </w:p>
        </w:tc>
      </w:tr>
      <w:tr w:rsidR="00AA33D5" w:rsidRPr="00AA33D5" w14:paraId="7B90FACF" w14:textId="77777777" w:rsidTr="00AA33D5">
        <w:trPr>
          <w:trHeight w:val="255"/>
        </w:trPr>
        <w:tc>
          <w:tcPr>
            <w:tcW w:w="2400" w:type="dxa"/>
            <w:tcBorders>
              <w:top w:val="nil"/>
              <w:left w:val="nil"/>
              <w:bottom w:val="nil"/>
              <w:right w:val="nil"/>
            </w:tcBorders>
            <w:shd w:val="clear" w:color="auto" w:fill="auto"/>
            <w:noWrap/>
            <w:vAlign w:val="bottom"/>
            <w:hideMark/>
          </w:tcPr>
          <w:p w14:paraId="1BBAC301" w14:textId="77777777" w:rsidR="00AA33D5" w:rsidRPr="00AA33D5" w:rsidRDefault="00AA33D5" w:rsidP="00AA33D5">
            <w:pPr>
              <w:spacing w:after="0" w:line="240" w:lineRule="auto"/>
              <w:rPr>
                <w:rFonts w:ascii="Arial" w:eastAsia="Times New Roman" w:hAnsi="Arial" w:cs="Arial"/>
                <w:sz w:val="20"/>
                <w:szCs w:val="20"/>
              </w:rPr>
            </w:pPr>
            <w:r w:rsidRPr="00AA33D5">
              <w:rPr>
                <w:rFonts w:ascii="Arial" w:eastAsia="Times New Roman" w:hAnsi="Arial" w:cs="Arial"/>
                <w:sz w:val="20"/>
                <w:szCs w:val="20"/>
              </w:rPr>
              <w:t>count</w:t>
            </w:r>
          </w:p>
        </w:tc>
        <w:tc>
          <w:tcPr>
            <w:tcW w:w="920" w:type="dxa"/>
            <w:tcBorders>
              <w:top w:val="nil"/>
              <w:left w:val="nil"/>
              <w:bottom w:val="nil"/>
              <w:right w:val="nil"/>
            </w:tcBorders>
            <w:shd w:val="clear" w:color="auto" w:fill="auto"/>
            <w:noWrap/>
            <w:vAlign w:val="bottom"/>
            <w:hideMark/>
          </w:tcPr>
          <w:p w14:paraId="66D7B03D" w14:textId="77777777" w:rsidR="00AA33D5" w:rsidRPr="00AA33D5" w:rsidRDefault="00AA33D5" w:rsidP="00AA33D5">
            <w:pPr>
              <w:spacing w:after="0" w:line="240" w:lineRule="auto"/>
              <w:jc w:val="right"/>
              <w:rPr>
                <w:rFonts w:ascii="Arial" w:eastAsia="Times New Roman" w:hAnsi="Arial" w:cs="Arial"/>
                <w:sz w:val="20"/>
                <w:szCs w:val="20"/>
              </w:rPr>
            </w:pPr>
            <w:r w:rsidRPr="00AA33D5">
              <w:rPr>
                <w:rFonts w:ascii="Arial" w:eastAsia="Times New Roman" w:hAnsi="Arial" w:cs="Arial"/>
                <w:sz w:val="20"/>
                <w:szCs w:val="20"/>
              </w:rPr>
              <w:t xml:space="preserve">50 </w:t>
            </w:r>
          </w:p>
        </w:tc>
      </w:tr>
      <w:tr w:rsidR="00AA33D5" w:rsidRPr="00AA33D5" w14:paraId="57EE5425" w14:textId="77777777" w:rsidTr="00AA33D5">
        <w:trPr>
          <w:trHeight w:val="255"/>
        </w:trPr>
        <w:tc>
          <w:tcPr>
            <w:tcW w:w="2400" w:type="dxa"/>
            <w:tcBorders>
              <w:top w:val="nil"/>
              <w:left w:val="nil"/>
              <w:bottom w:val="nil"/>
              <w:right w:val="nil"/>
            </w:tcBorders>
            <w:shd w:val="clear" w:color="auto" w:fill="auto"/>
            <w:noWrap/>
            <w:vAlign w:val="bottom"/>
            <w:hideMark/>
          </w:tcPr>
          <w:p w14:paraId="03F2D190" w14:textId="77777777" w:rsidR="00AA33D5" w:rsidRPr="00AA33D5" w:rsidRDefault="00AA33D5" w:rsidP="00AA33D5">
            <w:pPr>
              <w:spacing w:after="0" w:line="240" w:lineRule="auto"/>
              <w:rPr>
                <w:rFonts w:ascii="Arial" w:eastAsia="Times New Roman" w:hAnsi="Arial" w:cs="Arial"/>
                <w:sz w:val="20"/>
                <w:szCs w:val="20"/>
              </w:rPr>
            </w:pPr>
            <w:r w:rsidRPr="00AA33D5">
              <w:rPr>
                <w:rFonts w:ascii="Arial" w:eastAsia="Times New Roman" w:hAnsi="Arial" w:cs="Arial"/>
                <w:sz w:val="20"/>
                <w:szCs w:val="20"/>
              </w:rPr>
              <w:t>mean</w:t>
            </w:r>
          </w:p>
        </w:tc>
        <w:tc>
          <w:tcPr>
            <w:tcW w:w="920" w:type="dxa"/>
            <w:tcBorders>
              <w:top w:val="nil"/>
              <w:left w:val="nil"/>
              <w:bottom w:val="nil"/>
              <w:right w:val="nil"/>
            </w:tcBorders>
            <w:shd w:val="clear" w:color="auto" w:fill="auto"/>
            <w:noWrap/>
            <w:vAlign w:val="bottom"/>
            <w:hideMark/>
          </w:tcPr>
          <w:p w14:paraId="155E2641" w14:textId="77777777" w:rsidR="00AA33D5" w:rsidRPr="00AA33D5" w:rsidRDefault="00AA33D5" w:rsidP="00AA33D5">
            <w:pPr>
              <w:spacing w:after="0" w:line="240" w:lineRule="auto"/>
              <w:jc w:val="right"/>
              <w:rPr>
                <w:rFonts w:ascii="Arial" w:eastAsia="Times New Roman" w:hAnsi="Arial" w:cs="Arial"/>
                <w:sz w:val="20"/>
                <w:szCs w:val="20"/>
              </w:rPr>
            </w:pPr>
            <w:r w:rsidRPr="00AA33D5">
              <w:rPr>
                <w:rFonts w:ascii="Arial" w:eastAsia="Times New Roman" w:hAnsi="Arial" w:cs="Arial"/>
                <w:sz w:val="20"/>
                <w:szCs w:val="20"/>
              </w:rPr>
              <w:t xml:space="preserve">248.44 </w:t>
            </w:r>
          </w:p>
        </w:tc>
      </w:tr>
      <w:tr w:rsidR="00AA33D5" w:rsidRPr="00AA33D5" w14:paraId="61D7782D" w14:textId="77777777" w:rsidTr="00AA33D5">
        <w:trPr>
          <w:trHeight w:val="255"/>
        </w:trPr>
        <w:tc>
          <w:tcPr>
            <w:tcW w:w="2400" w:type="dxa"/>
            <w:tcBorders>
              <w:top w:val="nil"/>
              <w:left w:val="nil"/>
              <w:bottom w:val="nil"/>
              <w:right w:val="nil"/>
            </w:tcBorders>
            <w:shd w:val="clear" w:color="auto" w:fill="auto"/>
            <w:noWrap/>
            <w:vAlign w:val="bottom"/>
            <w:hideMark/>
          </w:tcPr>
          <w:p w14:paraId="6D1EE2AF" w14:textId="77777777" w:rsidR="00AA33D5" w:rsidRPr="00AA33D5" w:rsidRDefault="00AA33D5" w:rsidP="00AA33D5">
            <w:pPr>
              <w:spacing w:after="0" w:line="240" w:lineRule="auto"/>
              <w:rPr>
                <w:rFonts w:ascii="Arial" w:eastAsia="Times New Roman" w:hAnsi="Arial" w:cs="Arial"/>
                <w:sz w:val="20"/>
                <w:szCs w:val="20"/>
              </w:rPr>
            </w:pPr>
            <w:r w:rsidRPr="00AA33D5">
              <w:rPr>
                <w:rFonts w:ascii="Arial" w:eastAsia="Times New Roman" w:hAnsi="Arial" w:cs="Arial"/>
                <w:sz w:val="20"/>
                <w:szCs w:val="20"/>
              </w:rPr>
              <w:t>sample standard deviation</w:t>
            </w:r>
          </w:p>
        </w:tc>
        <w:tc>
          <w:tcPr>
            <w:tcW w:w="920" w:type="dxa"/>
            <w:tcBorders>
              <w:top w:val="nil"/>
              <w:left w:val="nil"/>
              <w:bottom w:val="nil"/>
              <w:right w:val="nil"/>
            </w:tcBorders>
            <w:shd w:val="clear" w:color="auto" w:fill="auto"/>
            <w:noWrap/>
            <w:vAlign w:val="bottom"/>
            <w:hideMark/>
          </w:tcPr>
          <w:p w14:paraId="54EB4C35" w14:textId="77777777" w:rsidR="00AA33D5" w:rsidRPr="00AA33D5" w:rsidRDefault="00AA33D5" w:rsidP="00AA33D5">
            <w:pPr>
              <w:spacing w:after="0" w:line="240" w:lineRule="auto"/>
              <w:jc w:val="right"/>
              <w:rPr>
                <w:rFonts w:ascii="Arial" w:eastAsia="Times New Roman" w:hAnsi="Arial" w:cs="Arial"/>
                <w:sz w:val="20"/>
                <w:szCs w:val="20"/>
              </w:rPr>
            </w:pPr>
            <w:r w:rsidRPr="00AA33D5">
              <w:rPr>
                <w:rFonts w:ascii="Arial" w:eastAsia="Times New Roman" w:hAnsi="Arial" w:cs="Arial"/>
                <w:sz w:val="20"/>
                <w:szCs w:val="20"/>
              </w:rPr>
              <w:t xml:space="preserve">90.61 </w:t>
            </w:r>
          </w:p>
        </w:tc>
      </w:tr>
      <w:tr w:rsidR="00AA33D5" w:rsidRPr="00AA33D5" w14:paraId="10AC6D4E" w14:textId="77777777" w:rsidTr="00AA33D5">
        <w:trPr>
          <w:trHeight w:val="255"/>
        </w:trPr>
        <w:tc>
          <w:tcPr>
            <w:tcW w:w="2400" w:type="dxa"/>
            <w:tcBorders>
              <w:top w:val="nil"/>
              <w:left w:val="nil"/>
              <w:bottom w:val="nil"/>
              <w:right w:val="nil"/>
            </w:tcBorders>
            <w:shd w:val="clear" w:color="auto" w:fill="auto"/>
            <w:noWrap/>
            <w:vAlign w:val="bottom"/>
            <w:hideMark/>
          </w:tcPr>
          <w:p w14:paraId="222A37E8" w14:textId="77777777" w:rsidR="00AA33D5" w:rsidRPr="00AA33D5" w:rsidRDefault="00AA33D5" w:rsidP="00AA33D5">
            <w:pPr>
              <w:spacing w:after="0" w:line="240" w:lineRule="auto"/>
              <w:rPr>
                <w:rFonts w:ascii="Arial" w:eastAsia="Times New Roman" w:hAnsi="Arial" w:cs="Arial"/>
                <w:sz w:val="20"/>
                <w:szCs w:val="20"/>
              </w:rPr>
            </w:pPr>
            <w:r w:rsidRPr="00AA33D5">
              <w:rPr>
                <w:rFonts w:ascii="Arial" w:eastAsia="Times New Roman" w:hAnsi="Arial" w:cs="Arial"/>
                <w:sz w:val="20"/>
                <w:szCs w:val="20"/>
              </w:rPr>
              <w:t>sample variance</w:t>
            </w:r>
          </w:p>
        </w:tc>
        <w:tc>
          <w:tcPr>
            <w:tcW w:w="920" w:type="dxa"/>
            <w:tcBorders>
              <w:top w:val="nil"/>
              <w:left w:val="nil"/>
              <w:bottom w:val="nil"/>
              <w:right w:val="nil"/>
            </w:tcBorders>
            <w:shd w:val="clear" w:color="auto" w:fill="auto"/>
            <w:noWrap/>
            <w:vAlign w:val="bottom"/>
            <w:hideMark/>
          </w:tcPr>
          <w:p w14:paraId="48AF85CA" w14:textId="77777777" w:rsidR="00AA33D5" w:rsidRPr="00AA33D5" w:rsidRDefault="00AA33D5" w:rsidP="00AA33D5">
            <w:pPr>
              <w:spacing w:after="0" w:line="240" w:lineRule="auto"/>
              <w:jc w:val="right"/>
              <w:rPr>
                <w:rFonts w:ascii="Arial" w:eastAsia="Times New Roman" w:hAnsi="Arial" w:cs="Arial"/>
                <w:sz w:val="20"/>
                <w:szCs w:val="20"/>
              </w:rPr>
            </w:pPr>
            <w:r w:rsidRPr="00AA33D5">
              <w:rPr>
                <w:rFonts w:ascii="Arial" w:eastAsia="Times New Roman" w:hAnsi="Arial" w:cs="Arial"/>
                <w:sz w:val="20"/>
                <w:szCs w:val="20"/>
              </w:rPr>
              <w:t xml:space="preserve">8,210.78 </w:t>
            </w:r>
          </w:p>
        </w:tc>
      </w:tr>
      <w:tr w:rsidR="00AA33D5" w:rsidRPr="00AA33D5" w14:paraId="0B92BCCF" w14:textId="77777777" w:rsidTr="00AA33D5">
        <w:trPr>
          <w:trHeight w:val="255"/>
        </w:trPr>
        <w:tc>
          <w:tcPr>
            <w:tcW w:w="2400" w:type="dxa"/>
            <w:tcBorders>
              <w:top w:val="nil"/>
              <w:left w:val="nil"/>
              <w:bottom w:val="nil"/>
              <w:right w:val="nil"/>
            </w:tcBorders>
            <w:shd w:val="clear" w:color="auto" w:fill="auto"/>
            <w:noWrap/>
            <w:vAlign w:val="bottom"/>
            <w:hideMark/>
          </w:tcPr>
          <w:p w14:paraId="41E9F16C" w14:textId="77777777" w:rsidR="00AA33D5" w:rsidRPr="00AA33D5" w:rsidRDefault="00AA33D5" w:rsidP="00AA33D5">
            <w:pPr>
              <w:spacing w:after="0" w:line="240" w:lineRule="auto"/>
              <w:rPr>
                <w:rFonts w:ascii="Arial" w:eastAsia="Times New Roman" w:hAnsi="Arial" w:cs="Arial"/>
                <w:sz w:val="20"/>
                <w:szCs w:val="20"/>
              </w:rPr>
            </w:pPr>
            <w:r w:rsidRPr="00AA33D5">
              <w:rPr>
                <w:rFonts w:ascii="Arial" w:eastAsia="Times New Roman" w:hAnsi="Arial" w:cs="Arial"/>
                <w:sz w:val="20"/>
                <w:szCs w:val="20"/>
              </w:rPr>
              <w:t>range</w:t>
            </w:r>
          </w:p>
        </w:tc>
        <w:tc>
          <w:tcPr>
            <w:tcW w:w="920" w:type="dxa"/>
            <w:tcBorders>
              <w:top w:val="nil"/>
              <w:left w:val="nil"/>
              <w:bottom w:val="nil"/>
              <w:right w:val="nil"/>
            </w:tcBorders>
            <w:shd w:val="clear" w:color="auto" w:fill="auto"/>
            <w:noWrap/>
            <w:vAlign w:val="bottom"/>
            <w:hideMark/>
          </w:tcPr>
          <w:p w14:paraId="46DF9CE4" w14:textId="77777777" w:rsidR="00AA33D5" w:rsidRPr="00AA33D5" w:rsidRDefault="00AA33D5" w:rsidP="00AA33D5">
            <w:pPr>
              <w:spacing w:after="0" w:line="240" w:lineRule="auto"/>
              <w:jc w:val="right"/>
              <w:rPr>
                <w:rFonts w:ascii="Arial" w:eastAsia="Times New Roman" w:hAnsi="Arial" w:cs="Arial"/>
                <w:sz w:val="20"/>
                <w:szCs w:val="20"/>
              </w:rPr>
            </w:pPr>
            <w:r w:rsidRPr="00AA33D5">
              <w:rPr>
                <w:rFonts w:ascii="Arial" w:eastAsia="Times New Roman" w:hAnsi="Arial" w:cs="Arial"/>
                <w:sz w:val="20"/>
                <w:szCs w:val="20"/>
              </w:rPr>
              <w:t xml:space="preserve">407 </w:t>
            </w:r>
          </w:p>
        </w:tc>
      </w:tr>
      <w:tr w:rsidR="00AA33D5" w:rsidRPr="00AA33D5" w14:paraId="614C07C9" w14:textId="77777777" w:rsidTr="00AA33D5">
        <w:trPr>
          <w:trHeight w:val="255"/>
        </w:trPr>
        <w:tc>
          <w:tcPr>
            <w:tcW w:w="2400" w:type="dxa"/>
            <w:tcBorders>
              <w:top w:val="nil"/>
              <w:left w:val="nil"/>
              <w:bottom w:val="nil"/>
              <w:right w:val="nil"/>
            </w:tcBorders>
            <w:shd w:val="clear" w:color="auto" w:fill="auto"/>
            <w:noWrap/>
            <w:vAlign w:val="bottom"/>
            <w:hideMark/>
          </w:tcPr>
          <w:p w14:paraId="17620CD8" w14:textId="77777777" w:rsidR="00AA33D5" w:rsidRPr="00AA33D5" w:rsidRDefault="00AA33D5" w:rsidP="00AA33D5">
            <w:pPr>
              <w:spacing w:after="0" w:line="240" w:lineRule="auto"/>
              <w:jc w:val="right"/>
              <w:rPr>
                <w:rFonts w:ascii="Arial" w:eastAsia="Times New Roman" w:hAnsi="Arial" w:cs="Arial"/>
                <w:sz w:val="20"/>
                <w:szCs w:val="20"/>
              </w:rPr>
            </w:pPr>
          </w:p>
        </w:tc>
        <w:tc>
          <w:tcPr>
            <w:tcW w:w="920" w:type="dxa"/>
            <w:tcBorders>
              <w:top w:val="nil"/>
              <w:left w:val="nil"/>
              <w:bottom w:val="nil"/>
              <w:right w:val="nil"/>
            </w:tcBorders>
            <w:shd w:val="clear" w:color="auto" w:fill="auto"/>
            <w:noWrap/>
            <w:vAlign w:val="bottom"/>
            <w:hideMark/>
          </w:tcPr>
          <w:p w14:paraId="2793846D" w14:textId="77777777" w:rsidR="00AA33D5" w:rsidRPr="00AA33D5" w:rsidRDefault="00AA33D5" w:rsidP="00AA33D5">
            <w:pPr>
              <w:spacing w:after="0" w:line="240" w:lineRule="auto"/>
              <w:rPr>
                <w:rFonts w:ascii="Times New Roman" w:eastAsia="Times New Roman" w:hAnsi="Times New Roman" w:cs="Times New Roman"/>
                <w:sz w:val="20"/>
                <w:szCs w:val="20"/>
              </w:rPr>
            </w:pPr>
          </w:p>
        </w:tc>
      </w:tr>
      <w:tr w:rsidR="00AA33D5" w:rsidRPr="00AA33D5" w14:paraId="6CA9D1F7" w14:textId="77777777" w:rsidTr="00AA33D5">
        <w:trPr>
          <w:trHeight w:val="255"/>
        </w:trPr>
        <w:tc>
          <w:tcPr>
            <w:tcW w:w="2400" w:type="dxa"/>
            <w:tcBorders>
              <w:top w:val="nil"/>
              <w:left w:val="nil"/>
              <w:bottom w:val="nil"/>
              <w:right w:val="nil"/>
            </w:tcBorders>
            <w:shd w:val="clear" w:color="auto" w:fill="auto"/>
            <w:noWrap/>
            <w:vAlign w:val="bottom"/>
            <w:hideMark/>
          </w:tcPr>
          <w:p w14:paraId="3CD3A115" w14:textId="77777777" w:rsidR="00AA33D5" w:rsidRPr="00AA33D5" w:rsidRDefault="00AA33D5" w:rsidP="00AA33D5">
            <w:pPr>
              <w:spacing w:after="0" w:line="240" w:lineRule="auto"/>
              <w:rPr>
                <w:rFonts w:ascii="Arial" w:eastAsia="Times New Roman" w:hAnsi="Arial" w:cs="Arial"/>
                <w:sz w:val="20"/>
                <w:szCs w:val="20"/>
              </w:rPr>
            </w:pPr>
            <w:r w:rsidRPr="00AA33D5">
              <w:rPr>
                <w:rFonts w:ascii="Arial" w:eastAsia="Times New Roman" w:hAnsi="Arial" w:cs="Arial"/>
                <w:sz w:val="20"/>
                <w:szCs w:val="20"/>
              </w:rPr>
              <w:t>1st quartile</w:t>
            </w:r>
          </w:p>
        </w:tc>
        <w:tc>
          <w:tcPr>
            <w:tcW w:w="920" w:type="dxa"/>
            <w:tcBorders>
              <w:top w:val="nil"/>
              <w:left w:val="nil"/>
              <w:bottom w:val="nil"/>
              <w:right w:val="nil"/>
            </w:tcBorders>
            <w:shd w:val="clear" w:color="auto" w:fill="auto"/>
            <w:noWrap/>
            <w:vAlign w:val="bottom"/>
            <w:hideMark/>
          </w:tcPr>
          <w:p w14:paraId="1DD76E29" w14:textId="77777777" w:rsidR="00AA33D5" w:rsidRPr="00AA33D5" w:rsidRDefault="00AA33D5" w:rsidP="00AA33D5">
            <w:pPr>
              <w:spacing w:after="0" w:line="240" w:lineRule="auto"/>
              <w:jc w:val="right"/>
              <w:rPr>
                <w:rFonts w:ascii="Arial" w:eastAsia="Times New Roman" w:hAnsi="Arial" w:cs="Arial"/>
                <w:sz w:val="20"/>
                <w:szCs w:val="20"/>
              </w:rPr>
            </w:pPr>
            <w:r w:rsidRPr="00AA33D5">
              <w:rPr>
                <w:rFonts w:ascii="Arial" w:eastAsia="Times New Roman" w:hAnsi="Arial" w:cs="Arial"/>
                <w:sz w:val="20"/>
                <w:szCs w:val="20"/>
              </w:rPr>
              <w:t xml:space="preserve">197.50 </w:t>
            </w:r>
          </w:p>
        </w:tc>
      </w:tr>
      <w:tr w:rsidR="00AA33D5" w:rsidRPr="00AA33D5" w14:paraId="495A44EE" w14:textId="77777777" w:rsidTr="00AA33D5">
        <w:trPr>
          <w:trHeight w:val="255"/>
        </w:trPr>
        <w:tc>
          <w:tcPr>
            <w:tcW w:w="2400" w:type="dxa"/>
            <w:tcBorders>
              <w:top w:val="nil"/>
              <w:left w:val="nil"/>
              <w:bottom w:val="nil"/>
              <w:right w:val="nil"/>
            </w:tcBorders>
            <w:shd w:val="clear" w:color="auto" w:fill="auto"/>
            <w:noWrap/>
            <w:vAlign w:val="bottom"/>
            <w:hideMark/>
          </w:tcPr>
          <w:p w14:paraId="49E8DDFA" w14:textId="77777777" w:rsidR="00AA33D5" w:rsidRPr="00AA33D5" w:rsidRDefault="00AA33D5" w:rsidP="00AA33D5">
            <w:pPr>
              <w:spacing w:after="0" w:line="240" w:lineRule="auto"/>
              <w:rPr>
                <w:rFonts w:ascii="Arial" w:eastAsia="Times New Roman" w:hAnsi="Arial" w:cs="Arial"/>
                <w:sz w:val="20"/>
                <w:szCs w:val="20"/>
              </w:rPr>
            </w:pPr>
            <w:r w:rsidRPr="00AA33D5">
              <w:rPr>
                <w:rFonts w:ascii="Arial" w:eastAsia="Times New Roman" w:hAnsi="Arial" w:cs="Arial"/>
                <w:sz w:val="20"/>
                <w:szCs w:val="20"/>
              </w:rPr>
              <w:t>median</w:t>
            </w:r>
          </w:p>
        </w:tc>
        <w:tc>
          <w:tcPr>
            <w:tcW w:w="920" w:type="dxa"/>
            <w:tcBorders>
              <w:top w:val="nil"/>
              <w:left w:val="nil"/>
              <w:bottom w:val="nil"/>
              <w:right w:val="nil"/>
            </w:tcBorders>
            <w:shd w:val="clear" w:color="auto" w:fill="auto"/>
            <w:noWrap/>
            <w:vAlign w:val="bottom"/>
            <w:hideMark/>
          </w:tcPr>
          <w:p w14:paraId="0598935F" w14:textId="77777777" w:rsidR="00AA33D5" w:rsidRPr="00AA33D5" w:rsidRDefault="00AA33D5" w:rsidP="00AA33D5">
            <w:pPr>
              <w:spacing w:after="0" w:line="240" w:lineRule="auto"/>
              <w:jc w:val="right"/>
              <w:rPr>
                <w:rFonts w:ascii="Arial" w:eastAsia="Times New Roman" w:hAnsi="Arial" w:cs="Arial"/>
                <w:sz w:val="20"/>
                <w:szCs w:val="20"/>
              </w:rPr>
            </w:pPr>
            <w:r w:rsidRPr="00AA33D5">
              <w:rPr>
                <w:rFonts w:ascii="Arial" w:eastAsia="Times New Roman" w:hAnsi="Arial" w:cs="Arial"/>
                <w:sz w:val="20"/>
                <w:szCs w:val="20"/>
              </w:rPr>
              <w:t xml:space="preserve">255.50 </w:t>
            </w:r>
          </w:p>
        </w:tc>
      </w:tr>
      <w:tr w:rsidR="00AA33D5" w:rsidRPr="00AA33D5" w14:paraId="4C9615AD" w14:textId="77777777" w:rsidTr="00AA33D5">
        <w:trPr>
          <w:trHeight w:val="255"/>
        </w:trPr>
        <w:tc>
          <w:tcPr>
            <w:tcW w:w="2400" w:type="dxa"/>
            <w:tcBorders>
              <w:top w:val="nil"/>
              <w:left w:val="nil"/>
              <w:bottom w:val="nil"/>
              <w:right w:val="nil"/>
            </w:tcBorders>
            <w:shd w:val="clear" w:color="auto" w:fill="auto"/>
            <w:noWrap/>
            <w:vAlign w:val="bottom"/>
            <w:hideMark/>
          </w:tcPr>
          <w:p w14:paraId="271338C0" w14:textId="77777777" w:rsidR="00AA33D5" w:rsidRPr="00AA33D5" w:rsidRDefault="00AA33D5" w:rsidP="00AA33D5">
            <w:pPr>
              <w:spacing w:after="0" w:line="240" w:lineRule="auto"/>
              <w:rPr>
                <w:rFonts w:ascii="Arial" w:eastAsia="Times New Roman" w:hAnsi="Arial" w:cs="Arial"/>
                <w:sz w:val="20"/>
                <w:szCs w:val="20"/>
              </w:rPr>
            </w:pPr>
            <w:r w:rsidRPr="00AA33D5">
              <w:rPr>
                <w:rFonts w:ascii="Arial" w:eastAsia="Times New Roman" w:hAnsi="Arial" w:cs="Arial"/>
                <w:sz w:val="20"/>
                <w:szCs w:val="20"/>
              </w:rPr>
              <w:t>3rd quartile</w:t>
            </w:r>
          </w:p>
        </w:tc>
        <w:tc>
          <w:tcPr>
            <w:tcW w:w="920" w:type="dxa"/>
            <w:tcBorders>
              <w:top w:val="nil"/>
              <w:left w:val="nil"/>
              <w:bottom w:val="nil"/>
              <w:right w:val="nil"/>
            </w:tcBorders>
            <w:shd w:val="clear" w:color="auto" w:fill="auto"/>
            <w:noWrap/>
            <w:vAlign w:val="bottom"/>
            <w:hideMark/>
          </w:tcPr>
          <w:p w14:paraId="2774F2DF" w14:textId="77777777" w:rsidR="00AA33D5" w:rsidRPr="00AA33D5" w:rsidRDefault="00AA33D5" w:rsidP="00AA33D5">
            <w:pPr>
              <w:spacing w:after="0" w:line="240" w:lineRule="auto"/>
              <w:jc w:val="right"/>
              <w:rPr>
                <w:rFonts w:ascii="Arial" w:eastAsia="Times New Roman" w:hAnsi="Arial" w:cs="Arial"/>
                <w:sz w:val="20"/>
                <w:szCs w:val="20"/>
              </w:rPr>
            </w:pPr>
            <w:r w:rsidRPr="00AA33D5">
              <w:rPr>
                <w:rFonts w:ascii="Arial" w:eastAsia="Times New Roman" w:hAnsi="Arial" w:cs="Arial"/>
                <w:sz w:val="20"/>
                <w:szCs w:val="20"/>
              </w:rPr>
              <w:t xml:space="preserve">314.75 </w:t>
            </w:r>
          </w:p>
        </w:tc>
      </w:tr>
      <w:tr w:rsidR="00AA33D5" w:rsidRPr="00AA33D5" w14:paraId="2B3B31BB" w14:textId="77777777" w:rsidTr="00AA33D5">
        <w:trPr>
          <w:trHeight w:val="255"/>
        </w:trPr>
        <w:tc>
          <w:tcPr>
            <w:tcW w:w="2400" w:type="dxa"/>
            <w:tcBorders>
              <w:top w:val="nil"/>
              <w:left w:val="nil"/>
              <w:bottom w:val="nil"/>
              <w:right w:val="nil"/>
            </w:tcBorders>
            <w:shd w:val="clear" w:color="auto" w:fill="auto"/>
            <w:noWrap/>
            <w:vAlign w:val="bottom"/>
            <w:hideMark/>
          </w:tcPr>
          <w:p w14:paraId="34CA5E52" w14:textId="77777777" w:rsidR="00AA33D5" w:rsidRPr="00AA33D5" w:rsidRDefault="00AA33D5" w:rsidP="00AA33D5">
            <w:pPr>
              <w:spacing w:after="0" w:line="240" w:lineRule="auto"/>
              <w:rPr>
                <w:rFonts w:ascii="Arial" w:eastAsia="Times New Roman" w:hAnsi="Arial" w:cs="Arial"/>
                <w:sz w:val="20"/>
                <w:szCs w:val="20"/>
              </w:rPr>
            </w:pPr>
            <w:r w:rsidRPr="00AA33D5">
              <w:rPr>
                <w:rFonts w:ascii="Arial" w:eastAsia="Times New Roman" w:hAnsi="Arial" w:cs="Arial"/>
                <w:sz w:val="20"/>
                <w:szCs w:val="20"/>
              </w:rPr>
              <w:t>mode</w:t>
            </w:r>
          </w:p>
        </w:tc>
        <w:tc>
          <w:tcPr>
            <w:tcW w:w="920" w:type="dxa"/>
            <w:tcBorders>
              <w:top w:val="nil"/>
              <w:left w:val="nil"/>
              <w:bottom w:val="nil"/>
              <w:right w:val="nil"/>
            </w:tcBorders>
            <w:shd w:val="clear" w:color="auto" w:fill="auto"/>
            <w:noWrap/>
            <w:vAlign w:val="bottom"/>
            <w:hideMark/>
          </w:tcPr>
          <w:p w14:paraId="52914CC6" w14:textId="77777777" w:rsidR="00AA33D5" w:rsidRPr="00AA33D5" w:rsidRDefault="00AA33D5" w:rsidP="00AA33D5">
            <w:pPr>
              <w:spacing w:after="0" w:line="240" w:lineRule="auto"/>
              <w:jc w:val="right"/>
              <w:rPr>
                <w:rFonts w:ascii="Arial" w:eastAsia="Times New Roman" w:hAnsi="Arial" w:cs="Arial"/>
                <w:sz w:val="20"/>
                <w:szCs w:val="20"/>
              </w:rPr>
            </w:pPr>
            <w:r w:rsidRPr="00AA33D5">
              <w:rPr>
                <w:rFonts w:ascii="Arial" w:eastAsia="Times New Roman" w:hAnsi="Arial" w:cs="Arial"/>
                <w:sz w:val="20"/>
                <w:szCs w:val="20"/>
              </w:rPr>
              <w:t xml:space="preserve">325.00 </w:t>
            </w:r>
          </w:p>
        </w:tc>
      </w:tr>
    </w:tbl>
    <w:p w14:paraId="6096A514" w14:textId="77777777" w:rsidR="00AA33D5" w:rsidRDefault="00AA33D5" w:rsidP="00AA33D5">
      <w:pPr>
        <w:pStyle w:val="Default"/>
        <w:numPr>
          <w:ilvl w:val="0"/>
          <w:numId w:val="2"/>
        </w:numPr>
        <w:spacing w:after="30"/>
        <w:rPr>
          <w:sz w:val="23"/>
          <w:szCs w:val="23"/>
        </w:rPr>
      </w:pPr>
    </w:p>
    <w:p w14:paraId="1EFA0047" w14:textId="05E28F76" w:rsidR="00AA33D5" w:rsidRDefault="00AA33D5" w:rsidP="00AA33D5">
      <w:pPr>
        <w:pStyle w:val="Default"/>
        <w:numPr>
          <w:ilvl w:val="0"/>
          <w:numId w:val="2"/>
        </w:numPr>
        <w:spacing w:after="30"/>
        <w:rPr>
          <w:sz w:val="23"/>
          <w:szCs w:val="23"/>
        </w:rPr>
      </w:pPr>
      <w:r>
        <w:rPr>
          <w:sz w:val="23"/>
          <w:szCs w:val="23"/>
        </w:rPr>
        <w:t xml:space="preserve">b) What would be your next step(s) in your study? Which statistical measure(s) would you use as the benchmark in order to measure and analyze whether the new and improved check in system about to be implemented is improving customer check in time when compared to the data above? </w:t>
      </w:r>
    </w:p>
    <w:p w14:paraId="5FA64562" w14:textId="7F3F446F" w:rsidR="00944D23" w:rsidRDefault="00944D23" w:rsidP="00AA33D5">
      <w:pPr>
        <w:pStyle w:val="Default"/>
        <w:numPr>
          <w:ilvl w:val="0"/>
          <w:numId w:val="2"/>
        </w:numPr>
        <w:spacing w:after="30"/>
        <w:rPr>
          <w:sz w:val="23"/>
          <w:szCs w:val="23"/>
        </w:rPr>
      </w:pPr>
      <w:r>
        <w:rPr>
          <w:sz w:val="23"/>
          <w:szCs w:val="23"/>
        </w:rPr>
        <w:t xml:space="preserve">solution </w:t>
      </w:r>
    </w:p>
    <w:p w14:paraId="39314F8F" w14:textId="5BD2FA0D" w:rsidR="00944D23" w:rsidRDefault="00944D23" w:rsidP="00AA33D5">
      <w:pPr>
        <w:pStyle w:val="Default"/>
        <w:numPr>
          <w:ilvl w:val="0"/>
          <w:numId w:val="2"/>
        </w:numPr>
        <w:spacing w:after="30"/>
        <w:rPr>
          <w:sz w:val="23"/>
          <w:szCs w:val="23"/>
        </w:rPr>
      </w:pPr>
      <w:r>
        <w:rPr>
          <w:sz w:val="23"/>
          <w:szCs w:val="23"/>
        </w:rPr>
        <w:t xml:space="preserve">I would measure the mean time for the new check system and minimum and maximum time taken. </w:t>
      </w:r>
    </w:p>
    <w:p w14:paraId="77E9546B" w14:textId="47CFA155" w:rsidR="00AA33D5" w:rsidRDefault="00AA33D5" w:rsidP="00AA33D5">
      <w:pPr>
        <w:pStyle w:val="Default"/>
        <w:numPr>
          <w:ilvl w:val="0"/>
          <w:numId w:val="2"/>
        </w:numPr>
        <w:rPr>
          <w:sz w:val="23"/>
          <w:szCs w:val="23"/>
        </w:rPr>
      </w:pPr>
      <w:r>
        <w:rPr>
          <w:sz w:val="23"/>
          <w:szCs w:val="23"/>
        </w:rPr>
        <w:t xml:space="preserve">c) Why did you choose this statistical measure(s)? </w:t>
      </w:r>
    </w:p>
    <w:p w14:paraId="036D2734" w14:textId="2CF5DF23" w:rsidR="00944D23" w:rsidRDefault="00944D23" w:rsidP="00AA33D5">
      <w:pPr>
        <w:pStyle w:val="Default"/>
        <w:numPr>
          <w:ilvl w:val="0"/>
          <w:numId w:val="2"/>
        </w:numPr>
        <w:rPr>
          <w:sz w:val="23"/>
          <w:szCs w:val="23"/>
        </w:rPr>
      </w:pPr>
      <w:r>
        <w:rPr>
          <w:sz w:val="23"/>
          <w:szCs w:val="23"/>
        </w:rPr>
        <w:t>solution</w:t>
      </w:r>
    </w:p>
    <w:p w14:paraId="6F7E0A2B" w14:textId="20EBE192" w:rsidR="00944D23" w:rsidRDefault="00944D23" w:rsidP="00AA33D5">
      <w:pPr>
        <w:pStyle w:val="Default"/>
        <w:numPr>
          <w:ilvl w:val="0"/>
          <w:numId w:val="2"/>
        </w:numPr>
        <w:rPr>
          <w:sz w:val="23"/>
          <w:szCs w:val="23"/>
        </w:rPr>
      </w:pPr>
      <w:proofErr w:type="gramStart"/>
      <w:r>
        <w:rPr>
          <w:sz w:val="23"/>
          <w:szCs w:val="23"/>
        </w:rPr>
        <w:t>they</w:t>
      </w:r>
      <w:proofErr w:type="gramEnd"/>
      <w:r>
        <w:rPr>
          <w:sz w:val="23"/>
          <w:szCs w:val="23"/>
        </w:rPr>
        <w:t xml:space="preserve"> can be compared to what we arrived on previously. </w:t>
      </w:r>
    </w:p>
    <w:p w14:paraId="14396347" w14:textId="5400755D" w:rsidR="00844747" w:rsidRDefault="00844747" w:rsidP="00844747">
      <w:pPr>
        <w:pStyle w:val="Default"/>
        <w:rPr>
          <w:sz w:val="23"/>
          <w:szCs w:val="23"/>
        </w:rPr>
      </w:pPr>
      <w:r>
        <w:rPr>
          <w:sz w:val="23"/>
          <w:szCs w:val="23"/>
        </w:rPr>
        <w:t>No 3</w:t>
      </w:r>
    </w:p>
    <w:p w14:paraId="63E54F48" w14:textId="77777777" w:rsidR="00844747" w:rsidRDefault="00844747" w:rsidP="00844747">
      <w:pPr>
        <w:pStyle w:val="Default"/>
        <w:rPr>
          <w:sz w:val="23"/>
          <w:szCs w:val="23"/>
        </w:rPr>
      </w:pPr>
      <w:r>
        <w:rPr>
          <w:sz w:val="23"/>
          <w:szCs w:val="23"/>
        </w:rPr>
        <w:t xml:space="preserve">a) Construct a scatter diagram with price on the Y axis and energy cost on the X </w:t>
      </w:r>
    </w:p>
    <w:p w14:paraId="6F1F6D3F" w14:textId="797A12AB" w:rsidR="00844747" w:rsidRDefault="00844747" w:rsidP="00844747">
      <w:pPr>
        <w:pStyle w:val="Default"/>
        <w:rPr>
          <w:sz w:val="23"/>
          <w:szCs w:val="23"/>
        </w:rPr>
      </w:pPr>
      <w:proofErr w:type="gramStart"/>
      <w:r>
        <w:rPr>
          <w:sz w:val="23"/>
          <w:szCs w:val="23"/>
        </w:rPr>
        <w:t>axis</w:t>
      </w:r>
      <w:proofErr w:type="gramEnd"/>
      <w:r>
        <w:rPr>
          <w:sz w:val="23"/>
          <w:szCs w:val="23"/>
        </w:rPr>
        <w:t xml:space="preserve">. </w:t>
      </w:r>
    </w:p>
    <w:p w14:paraId="5B2B345D" w14:textId="4BCFA6C5" w:rsidR="00844747" w:rsidRDefault="00844747" w:rsidP="00844747">
      <w:pPr>
        <w:pStyle w:val="Default"/>
        <w:rPr>
          <w:sz w:val="23"/>
          <w:szCs w:val="23"/>
        </w:rPr>
      </w:pPr>
      <w:r>
        <w:rPr>
          <w:noProof/>
        </w:rPr>
        <w:drawing>
          <wp:inline distT="0" distB="0" distL="0" distR="0" wp14:anchorId="783DBE56" wp14:editId="1F2655F3">
            <wp:extent cx="4254500" cy="2600325"/>
            <wp:effectExtent l="0" t="0" r="12700" b="9525"/>
            <wp:docPr id="9" name="Chart 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9BA794-202F-4307-8ACB-4891E6A845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3AEFFE7" w14:textId="77777777" w:rsidR="00844747" w:rsidRDefault="00844747" w:rsidP="00844747">
      <w:pPr>
        <w:pStyle w:val="Default"/>
        <w:rPr>
          <w:sz w:val="23"/>
          <w:szCs w:val="23"/>
        </w:rPr>
      </w:pPr>
      <w:r>
        <w:rPr>
          <w:sz w:val="23"/>
          <w:szCs w:val="23"/>
        </w:rPr>
        <w:t xml:space="preserve">b) What conclusions about the relationship of energy cost and filter cost to the </w:t>
      </w:r>
    </w:p>
    <w:p w14:paraId="30A360F4" w14:textId="1CBC1D7A" w:rsidR="00844747" w:rsidRDefault="00844747" w:rsidP="00844747">
      <w:pPr>
        <w:pStyle w:val="Default"/>
        <w:rPr>
          <w:sz w:val="23"/>
          <w:szCs w:val="23"/>
        </w:rPr>
      </w:pPr>
      <w:proofErr w:type="gramStart"/>
      <w:r>
        <w:rPr>
          <w:sz w:val="23"/>
          <w:szCs w:val="23"/>
        </w:rPr>
        <w:t>price</w:t>
      </w:r>
      <w:proofErr w:type="gramEnd"/>
      <w:r>
        <w:rPr>
          <w:sz w:val="23"/>
          <w:szCs w:val="23"/>
        </w:rPr>
        <w:t xml:space="preserve"> of the air cleaners can you make?</w:t>
      </w:r>
    </w:p>
    <w:p w14:paraId="77C38EC2" w14:textId="2AB224E0" w:rsidR="00844747" w:rsidRDefault="00844747" w:rsidP="00844747">
      <w:pPr>
        <w:pStyle w:val="Default"/>
        <w:rPr>
          <w:sz w:val="23"/>
          <w:szCs w:val="23"/>
        </w:rPr>
      </w:pPr>
      <w:r>
        <w:rPr>
          <w:sz w:val="23"/>
          <w:szCs w:val="23"/>
        </w:rPr>
        <w:t>Solution</w:t>
      </w:r>
    </w:p>
    <w:p w14:paraId="34EB9D8E" w14:textId="62CF2D7B" w:rsidR="00844747" w:rsidRDefault="00844747" w:rsidP="00844747">
      <w:pPr>
        <w:pStyle w:val="Default"/>
        <w:rPr>
          <w:sz w:val="23"/>
          <w:szCs w:val="23"/>
        </w:rPr>
      </w:pPr>
      <w:r>
        <w:rPr>
          <w:sz w:val="23"/>
          <w:szCs w:val="23"/>
        </w:rPr>
        <w:t xml:space="preserve">There is no linear relationship between price and energy cost. This is because the scatter is horizontal. </w:t>
      </w:r>
    </w:p>
    <w:p w14:paraId="6F322120" w14:textId="6825DDDA" w:rsidR="00AA33D5" w:rsidRDefault="009620D1" w:rsidP="009859E3">
      <w:pPr>
        <w:rPr>
          <w:rFonts w:ascii="Times New Roman" w:hAnsi="Times New Roman" w:cs="Times New Roman"/>
          <w:sz w:val="24"/>
          <w:szCs w:val="24"/>
        </w:rPr>
      </w:pPr>
      <w:r>
        <w:rPr>
          <w:rFonts w:ascii="Times New Roman" w:hAnsi="Times New Roman" w:cs="Times New Roman"/>
          <w:sz w:val="24"/>
          <w:szCs w:val="24"/>
        </w:rPr>
        <w:t>No 4</w:t>
      </w:r>
    </w:p>
    <w:p w14:paraId="5E01862F" w14:textId="04E207D7" w:rsidR="009620D1" w:rsidRDefault="009620D1" w:rsidP="009620D1">
      <w:pPr>
        <w:pStyle w:val="Default"/>
        <w:numPr>
          <w:ilvl w:val="0"/>
          <w:numId w:val="3"/>
        </w:numPr>
      </w:pPr>
      <w:r>
        <w:t xml:space="preserve">Compute the mean, and median. </w:t>
      </w:r>
    </w:p>
    <w:tbl>
      <w:tblPr>
        <w:tblW w:w="3360" w:type="dxa"/>
        <w:tblInd w:w="612" w:type="dxa"/>
        <w:tblLook w:val="04A0" w:firstRow="1" w:lastRow="0" w:firstColumn="1" w:lastColumn="0" w:noHBand="0" w:noVBand="1"/>
      </w:tblPr>
      <w:tblGrid>
        <w:gridCol w:w="1736"/>
        <w:gridCol w:w="1624"/>
      </w:tblGrid>
      <w:tr w:rsidR="009620D1" w:rsidRPr="009620D1" w14:paraId="1C37A818" w14:textId="77777777" w:rsidTr="006A5358">
        <w:trPr>
          <w:trHeight w:val="255"/>
        </w:trPr>
        <w:tc>
          <w:tcPr>
            <w:tcW w:w="3360" w:type="dxa"/>
            <w:gridSpan w:val="2"/>
            <w:tcBorders>
              <w:top w:val="single" w:sz="8" w:space="0" w:color="auto"/>
              <w:left w:val="nil"/>
              <w:bottom w:val="single" w:sz="4" w:space="0" w:color="auto"/>
              <w:right w:val="nil"/>
            </w:tcBorders>
            <w:shd w:val="clear" w:color="auto" w:fill="auto"/>
            <w:noWrap/>
            <w:vAlign w:val="bottom"/>
            <w:hideMark/>
          </w:tcPr>
          <w:p w14:paraId="6F39ECA0" w14:textId="77777777" w:rsidR="009620D1" w:rsidRPr="009620D1" w:rsidRDefault="009620D1" w:rsidP="009620D1">
            <w:pPr>
              <w:spacing w:after="0" w:line="240" w:lineRule="auto"/>
              <w:jc w:val="center"/>
              <w:rPr>
                <w:rFonts w:ascii="Arial" w:eastAsia="Times New Roman" w:hAnsi="Arial" w:cs="Arial"/>
                <w:i/>
                <w:iCs/>
                <w:sz w:val="20"/>
                <w:szCs w:val="20"/>
              </w:rPr>
            </w:pPr>
            <w:r w:rsidRPr="009620D1">
              <w:rPr>
                <w:rFonts w:ascii="Arial" w:eastAsia="Times New Roman" w:hAnsi="Arial" w:cs="Arial"/>
                <w:i/>
                <w:iCs/>
                <w:sz w:val="20"/>
                <w:szCs w:val="20"/>
              </w:rPr>
              <w:t>Days</w:t>
            </w:r>
          </w:p>
        </w:tc>
      </w:tr>
      <w:tr w:rsidR="009620D1" w:rsidRPr="009620D1" w14:paraId="1C944E9C" w14:textId="77777777" w:rsidTr="006A5358">
        <w:trPr>
          <w:trHeight w:val="255"/>
        </w:trPr>
        <w:tc>
          <w:tcPr>
            <w:tcW w:w="1736" w:type="dxa"/>
            <w:tcBorders>
              <w:top w:val="nil"/>
              <w:left w:val="nil"/>
              <w:bottom w:val="nil"/>
              <w:right w:val="nil"/>
            </w:tcBorders>
            <w:shd w:val="clear" w:color="auto" w:fill="auto"/>
            <w:noWrap/>
            <w:vAlign w:val="bottom"/>
            <w:hideMark/>
          </w:tcPr>
          <w:p w14:paraId="1E385ED6" w14:textId="77777777" w:rsidR="009620D1" w:rsidRPr="009620D1" w:rsidRDefault="009620D1" w:rsidP="009620D1">
            <w:pPr>
              <w:spacing w:after="0" w:line="240" w:lineRule="auto"/>
              <w:jc w:val="center"/>
              <w:rPr>
                <w:rFonts w:ascii="Arial" w:eastAsia="Times New Roman" w:hAnsi="Arial" w:cs="Arial"/>
                <w:i/>
                <w:iCs/>
                <w:sz w:val="20"/>
                <w:szCs w:val="20"/>
              </w:rPr>
            </w:pPr>
          </w:p>
        </w:tc>
        <w:tc>
          <w:tcPr>
            <w:tcW w:w="1624" w:type="dxa"/>
            <w:tcBorders>
              <w:top w:val="nil"/>
              <w:left w:val="nil"/>
              <w:bottom w:val="nil"/>
              <w:right w:val="nil"/>
            </w:tcBorders>
            <w:shd w:val="clear" w:color="auto" w:fill="auto"/>
            <w:noWrap/>
            <w:vAlign w:val="bottom"/>
            <w:hideMark/>
          </w:tcPr>
          <w:p w14:paraId="739B0178" w14:textId="77777777" w:rsidR="009620D1" w:rsidRPr="009620D1" w:rsidRDefault="009620D1" w:rsidP="009620D1">
            <w:pPr>
              <w:spacing w:after="0" w:line="240" w:lineRule="auto"/>
              <w:rPr>
                <w:rFonts w:ascii="Times New Roman" w:eastAsia="Times New Roman" w:hAnsi="Times New Roman" w:cs="Times New Roman"/>
                <w:sz w:val="20"/>
                <w:szCs w:val="20"/>
              </w:rPr>
            </w:pPr>
          </w:p>
        </w:tc>
      </w:tr>
      <w:tr w:rsidR="009620D1" w:rsidRPr="009620D1" w14:paraId="385225E7" w14:textId="77777777" w:rsidTr="006A5358">
        <w:trPr>
          <w:trHeight w:val="255"/>
        </w:trPr>
        <w:tc>
          <w:tcPr>
            <w:tcW w:w="1736" w:type="dxa"/>
            <w:tcBorders>
              <w:top w:val="nil"/>
              <w:left w:val="nil"/>
              <w:bottom w:val="nil"/>
              <w:right w:val="nil"/>
            </w:tcBorders>
            <w:shd w:val="clear" w:color="auto" w:fill="auto"/>
            <w:noWrap/>
            <w:vAlign w:val="bottom"/>
            <w:hideMark/>
          </w:tcPr>
          <w:p w14:paraId="00986D73" w14:textId="77777777" w:rsidR="009620D1" w:rsidRPr="009620D1" w:rsidRDefault="009620D1" w:rsidP="009620D1">
            <w:pPr>
              <w:spacing w:after="0" w:line="240" w:lineRule="auto"/>
              <w:rPr>
                <w:rFonts w:ascii="Arial" w:eastAsia="Times New Roman" w:hAnsi="Arial" w:cs="Arial"/>
                <w:sz w:val="20"/>
                <w:szCs w:val="20"/>
              </w:rPr>
            </w:pPr>
            <w:r w:rsidRPr="009620D1">
              <w:rPr>
                <w:rFonts w:ascii="Arial" w:eastAsia="Times New Roman" w:hAnsi="Arial" w:cs="Arial"/>
                <w:sz w:val="20"/>
                <w:szCs w:val="20"/>
              </w:rPr>
              <w:t>Mean</w:t>
            </w:r>
          </w:p>
        </w:tc>
        <w:tc>
          <w:tcPr>
            <w:tcW w:w="1624" w:type="dxa"/>
            <w:tcBorders>
              <w:top w:val="nil"/>
              <w:left w:val="nil"/>
              <w:bottom w:val="nil"/>
              <w:right w:val="nil"/>
            </w:tcBorders>
            <w:shd w:val="clear" w:color="auto" w:fill="auto"/>
            <w:noWrap/>
            <w:vAlign w:val="bottom"/>
            <w:hideMark/>
          </w:tcPr>
          <w:p w14:paraId="72AB7FC9" w14:textId="77777777" w:rsidR="009620D1" w:rsidRPr="009620D1" w:rsidRDefault="009620D1" w:rsidP="009620D1">
            <w:pPr>
              <w:spacing w:after="0" w:line="240" w:lineRule="auto"/>
              <w:jc w:val="right"/>
              <w:rPr>
                <w:rFonts w:ascii="Arial" w:eastAsia="Times New Roman" w:hAnsi="Arial" w:cs="Arial"/>
                <w:sz w:val="20"/>
                <w:szCs w:val="20"/>
              </w:rPr>
            </w:pPr>
            <w:r w:rsidRPr="009620D1">
              <w:rPr>
                <w:rFonts w:ascii="Arial" w:eastAsia="Times New Roman" w:hAnsi="Arial" w:cs="Arial"/>
                <w:sz w:val="20"/>
                <w:szCs w:val="20"/>
              </w:rPr>
              <w:t>54.060</w:t>
            </w:r>
          </w:p>
        </w:tc>
      </w:tr>
      <w:tr w:rsidR="009620D1" w:rsidRPr="009620D1" w14:paraId="5A73BF1F" w14:textId="77777777" w:rsidTr="006A5358">
        <w:trPr>
          <w:trHeight w:val="255"/>
        </w:trPr>
        <w:tc>
          <w:tcPr>
            <w:tcW w:w="1736" w:type="dxa"/>
            <w:tcBorders>
              <w:top w:val="nil"/>
              <w:left w:val="nil"/>
              <w:bottom w:val="nil"/>
              <w:right w:val="nil"/>
            </w:tcBorders>
            <w:shd w:val="clear" w:color="auto" w:fill="auto"/>
            <w:noWrap/>
            <w:vAlign w:val="bottom"/>
            <w:hideMark/>
          </w:tcPr>
          <w:p w14:paraId="4284D2E1" w14:textId="77777777" w:rsidR="009620D1" w:rsidRPr="009620D1" w:rsidRDefault="009620D1" w:rsidP="009620D1">
            <w:pPr>
              <w:spacing w:after="0" w:line="240" w:lineRule="auto"/>
              <w:rPr>
                <w:rFonts w:ascii="Arial" w:eastAsia="Times New Roman" w:hAnsi="Arial" w:cs="Arial"/>
                <w:sz w:val="20"/>
                <w:szCs w:val="20"/>
              </w:rPr>
            </w:pPr>
            <w:r w:rsidRPr="009620D1">
              <w:rPr>
                <w:rFonts w:ascii="Arial" w:eastAsia="Times New Roman" w:hAnsi="Arial" w:cs="Arial"/>
                <w:sz w:val="20"/>
                <w:szCs w:val="20"/>
              </w:rPr>
              <w:t>Median</w:t>
            </w:r>
          </w:p>
        </w:tc>
        <w:tc>
          <w:tcPr>
            <w:tcW w:w="1624" w:type="dxa"/>
            <w:tcBorders>
              <w:top w:val="nil"/>
              <w:left w:val="nil"/>
              <w:bottom w:val="nil"/>
              <w:right w:val="nil"/>
            </w:tcBorders>
            <w:shd w:val="clear" w:color="auto" w:fill="auto"/>
            <w:noWrap/>
            <w:vAlign w:val="bottom"/>
            <w:hideMark/>
          </w:tcPr>
          <w:p w14:paraId="7C9AD1E8" w14:textId="77777777" w:rsidR="009620D1" w:rsidRPr="009620D1" w:rsidRDefault="009620D1" w:rsidP="009620D1">
            <w:pPr>
              <w:spacing w:after="0" w:line="240" w:lineRule="auto"/>
              <w:jc w:val="right"/>
              <w:rPr>
                <w:rFonts w:ascii="Arial" w:eastAsia="Times New Roman" w:hAnsi="Arial" w:cs="Arial"/>
                <w:sz w:val="20"/>
                <w:szCs w:val="20"/>
              </w:rPr>
            </w:pPr>
            <w:r w:rsidRPr="009620D1">
              <w:rPr>
                <w:rFonts w:ascii="Arial" w:eastAsia="Times New Roman" w:hAnsi="Arial" w:cs="Arial"/>
                <w:sz w:val="20"/>
                <w:szCs w:val="20"/>
              </w:rPr>
              <w:t>30.500</w:t>
            </w:r>
          </w:p>
        </w:tc>
      </w:tr>
    </w:tbl>
    <w:p w14:paraId="3D1C61D5" w14:textId="77777777" w:rsidR="009620D1" w:rsidRDefault="009620D1" w:rsidP="009620D1">
      <w:pPr>
        <w:pStyle w:val="Default"/>
        <w:ind w:left="720"/>
      </w:pPr>
    </w:p>
    <w:p w14:paraId="7B859F59" w14:textId="6CD428D3" w:rsidR="009620D1" w:rsidRDefault="009620D1" w:rsidP="006A5358">
      <w:pPr>
        <w:pStyle w:val="Default"/>
        <w:numPr>
          <w:ilvl w:val="0"/>
          <w:numId w:val="3"/>
        </w:numPr>
      </w:pPr>
      <w:r>
        <w:t xml:space="preserve">Compute the range, variance and standard deviation. </w:t>
      </w:r>
    </w:p>
    <w:tbl>
      <w:tblPr>
        <w:tblW w:w="3360" w:type="dxa"/>
        <w:tblInd w:w="612" w:type="dxa"/>
        <w:tblLook w:val="04A0" w:firstRow="1" w:lastRow="0" w:firstColumn="1" w:lastColumn="0" w:noHBand="0" w:noVBand="1"/>
      </w:tblPr>
      <w:tblGrid>
        <w:gridCol w:w="2241"/>
        <w:gridCol w:w="1119"/>
      </w:tblGrid>
      <w:tr w:rsidR="006A5358" w:rsidRPr="006A5358" w14:paraId="2FB3817E" w14:textId="77777777" w:rsidTr="006A5358">
        <w:trPr>
          <w:trHeight w:val="255"/>
        </w:trPr>
        <w:tc>
          <w:tcPr>
            <w:tcW w:w="3360" w:type="dxa"/>
            <w:gridSpan w:val="2"/>
            <w:tcBorders>
              <w:top w:val="single" w:sz="8" w:space="0" w:color="auto"/>
              <w:left w:val="nil"/>
              <w:bottom w:val="single" w:sz="4" w:space="0" w:color="auto"/>
              <w:right w:val="nil"/>
            </w:tcBorders>
            <w:shd w:val="clear" w:color="auto" w:fill="auto"/>
            <w:noWrap/>
            <w:vAlign w:val="bottom"/>
            <w:hideMark/>
          </w:tcPr>
          <w:p w14:paraId="5DA8CC53" w14:textId="77777777" w:rsidR="006A5358" w:rsidRPr="006A5358" w:rsidRDefault="006A5358" w:rsidP="006A5358">
            <w:pPr>
              <w:spacing w:after="0" w:line="240" w:lineRule="auto"/>
              <w:jc w:val="center"/>
              <w:rPr>
                <w:rFonts w:ascii="Arial" w:eastAsia="Times New Roman" w:hAnsi="Arial" w:cs="Arial"/>
                <w:i/>
                <w:iCs/>
                <w:sz w:val="20"/>
                <w:szCs w:val="20"/>
              </w:rPr>
            </w:pPr>
            <w:r w:rsidRPr="006A5358">
              <w:rPr>
                <w:rFonts w:ascii="Arial" w:eastAsia="Times New Roman" w:hAnsi="Arial" w:cs="Arial"/>
                <w:i/>
                <w:iCs/>
                <w:sz w:val="20"/>
                <w:szCs w:val="20"/>
              </w:rPr>
              <w:t>Days</w:t>
            </w:r>
          </w:p>
        </w:tc>
      </w:tr>
      <w:tr w:rsidR="006A5358" w:rsidRPr="006A5358" w14:paraId="1F1DA3FB" w14:textId="77777777" w:rsidTr="006A5358">
        <w:trPr>
          <w:trHeight w:val="255"/>
        </w:trPr>
        <w:tc>
          <w:tcPr>
            <w:tcW w:w="2241" w:type="dxa"/>
            <w:tcBorders>
              <w:top w:val="nil"/>
              <w:left w:val="nil"/>
              <w:bottom w:val="nil"/>
              <w:right w:val="nil"/>
            </w:tcBorders>
            <w:shd w:val="clear" w:color="auto" w:fill="auto"/>
            <w:noWrap/>
            <w:vAlign w:val="bottom"/>
            <w:hideMark/>
          </w:tcPr>
          <w:p w14:paraId="147B837C" w14:textId="77777777" w:rsidR="006A5358" w:rsidRPr="006A5358" w:rsidRDefault="006A5358" w:rsidP="006A5358">
            <w:pPr>
              <w:spacing w:after="0" w:line="240" w:lineRule="auto"/>
              <w:rPr>
                <w:rFonts w:ascii="Arial" w:eastAsia="Times New Roman" w:hAnsi="Arial" w:cs="Arial"/>
                <w:sz w:val="20"/>
                <w:szCs w:val="20"/>
              </w:rPr>
            </w:pPr>
            <w:r w:rsidRPr="006A5358">
              <w:rPr>
                <w:rFonts w:ascii="Arial" w:eastAsia="Times New Roman" w:hAnsi="Arial" w:cs="Arial"/>
                <w:sz w:val="20"/>
                <w:szCs w:val="20"/>
              </w:rPr>
              <w:t>Range</w:t>
            </w:r>
          </w:p>
        </w:tc>
        <w:tc>
          <w:tcPr>
            <w:tcW w:w="1119" w:type="dxa"/>
            <w:tcBorders>
              <w:top w:val="nil"/>
              <w:left w:val="nil"/>
              <w:bottom w:val="nil"/>
              <w:right w:val="nil"/>
            </w:tcBorders>
            <w:shd w:val="clear" w:color="auto" w:fill="auto"/>
            <w:noWrap/>
            <w:vAlign w:val="bottom"/>
            <w:hideMark/>
          </w:tcPr>
          <w:p w14:paraId="616FF52D" w14:textId="77777777" w:rsidR="006A5358" w:rsidRPr="006A5358" w:rsidRDefault="006A5358" w:rsidP="006A5358">
            <w:pPr>
              <w:spacing w:after="0" w:line="240" w:lineRule="auto"/>
              <w:jc w:val="right"/>
              <w:rPr>
                <w:rFonts w:ascii="Arial" w:eastAsia="Times New Roman" w:hAnsi="Arial" w:cs="Arial"/>
                <w:sz w:val="20"/>
                <w:szCs w:val="20"/>
              </w:rPr>
            </w:pPr>
            <w:r w:rsidRPr="006A5358">
              <w:rPr>
                <w:rFonts w:ascii="Arial" w:eastAsia="Times New Roman" w:hAnsi="Arial" w:cs="Arial"/>
                <w:sz w:val="20"/>
                <w:szCs w:val="20"/>
              </w:rPr>
              <w:t>164</w:t>
            </w:r>
          </w:p>
        </w:tc>
      </w:tr>
      <w:tr w:rsidR="006A5358" w:rsidRPr="006A5358" w14:paraId="6EEBD6BC" w14:textId="77777777" w:rsidTr="006A5358">
        <w:trPr>
          <w:trHeight w:val="255"/>
        </w:trPr>
        <w:tc>
          <w:tcPr>
            <w:tcW w:w="2241" w:type="dxa"/>
            <w:tcBorders>
              <w:top w:val="nil"/>
              <w:left w:val="nil"/>
              <w:bottom w:val="nil"/>
              <w:right w:val="nil"/>
            </w:tcBorders>
            <w:shd w:val="clear" w:color="auto" w:fill="auto"/>
            <w:noWrap/>
            <w:vAlign w:val="bottom"/>
            <w:hideMark/>
          </w:tcPr>
          <w:p w14:paraId="4F28857C" w14:textId="77777777" w:rsidR="006A5358" w:rsidRPr="006A5358" w:rsidRDefault="006A5358" w:rsidP="006A5358">
            <w:pPr>
              <w:spacing w:after="0" w:line="240" w:lineRule="auto"/>
              <w:rPr>
                <w:rFonts w:ascii="Arial" w:eastAsia="Times New Roman" w:hAnsi="Arial" w:cs="Arial"/>
                <w:sz w:val="20"/>
                <w:szCs w:val="20"/>
              </w:rPr>
            </w:pPr>
            <w:r w:rsidRPr="006A5358">
              <w:rPr>
                <w:rFonts w:ascii="Arial" w:eastAsia="Times New Roman" w:hAnsi="Arial" w:cs="Arial"/>
                <w:sz w:val="20"/>
                <w:szCs w:val="20"/>
              </w:rPr>
              <w:t>Standard Deviation</w:t>
            </w:r>
          </w:p>
        </w:tc>
        <w:tc>
          <w:tcPr>
            <w:tcW w:w="1119" w:type="dxa"/>
            <w:tcBorders>
              <w:top w:val="nil"/>
              <w:left w:val="nil"/>
              <w:bottom w:val="nil"/>
              <w:right w:val="nil"/>
            </w:tcBorders>
            <w:shd w:val="clear" w:color="auto" w:fill="auto"/>
            <w:noWrap/>
            <w:vAlign w:val="bottom"/>
            <w:hideMark/>
          </w:tcPr>
          <w:p w14:paraId="6095D3D1" w14:textId="77777777" w:rsidR="006A5358" w:rsidRPr="006A5358" w:rsidRDefault="006A5358" w:rsidP="006A5358">
            <w:pPr>
              <w:spacing w:after="0" w:line="240" w:lineRule="auto"/>
              <w:jc w:val="right"/>
              <w:rPr>
                <w:rFonts w:ascii="Arial" w:eastAsia="Times New Roman" w:hAnsi="Arial" w:cs="Arial"/>
                <w:sz w:val="20"/>
                <w:szCs w:val="20"/>
              </w:rPr>
            </w:pPr>
            <w:r w:rsidRPr="006A5358">
              <w:rPr>
                <w:rFonts w:ascii="Arial" w:eastAsia="Times New Roman" w:hAnsi="Arial" w:cs="Arial"/>
                <w:sz w:val="20"/>
                <w:szCs w:val="20"/>
              </w:rPr>
              <w:t>47.772</w:t>
            </w:r>
          </w:p>
        </w:tc>
      </w:tr>
      <w:tr w:rsidR="006A5358" w:rsidRPr="006A5358" w14:paraId="53CCF40B" w14:textId="77777777" w:rsidTr="006A5358">
        <w:trPr>
          <w:trHeight w:val="255"/>
        </w:trPr>
        <w:tc>
          <w:tcPr>
            <w:tcW w:w="2241" w:type="dxa"/>
            <w:tcBorders>
              <w:top w:val="nil"/>
              <w:left w:val="nil"/>
              <w:bottom w:val="nil"/>
              <w:right w:val="nil"/>
            </w:tcBorders>
            <w:shd w:val="clear" w:color="auto" w:fill="auto"/>
            <w:noWrap/>
            <w:vAlign w:val="bottom"/>
            <w:hideMark/>
          </w:tcPr>
          <w:p w14:paraId="6899D405" w14:textId="77777777" w:rsidR="006A5358" w:rsidRPr="006A5358" w:rsidRDefault="006A5358" w:rsidP="006A5358">
            <w:pPr>
              <w:spacing w:after="0" w:line="240" w:lineRule="auto"/>
              <w:rPr>
                <w:rFonts w:ascii="Arial" w:eastAsia="Times New Roman" w:hAnsi="Arial" w:cs="Arial"/>
                <w:sz w:val="20"/>
                <w:szCs w:val="20"/>
              </w:rPr>
            </w:pPr>
            <w:r w:rsidRPr="006A5358">
              <w:rPr>
                <w:rFonts w:ascii="Arial" w:eastAsia="Times New Roman" w:hAnsi="Arial" w:cs="Arial"/>
                <w:sz w:val="20"/>
                <w:szCs w:val="20"/>
              </w:rPr>
              <w:t>Sample Variance</w:t>
            </w:r>
          </w:p>
        </w:tc>
        <w:tc>
          <w:tcPr>
            <w:tcW w:w="1119" w:type="dxa"/>
            <w:tcBorders>
              <w:top w:val="nil"/>
              <w:left w:val="nil"/>
              <w:bottom w:val="nil"/>
              <w:right w:val="nil"/>
            </w:tcBorders>
            <w:shd w:val="clear" w:color="auto" w:fill="auto"/>
            <w:noWrap/>
            <w:vAlign w:val="bottom"/>
            <w:hideMark/>
          </w:tcPr>
          <w:p w14:paraId="7067A90B" w14:textId="77777777" w:rsidR="006A5358" w:rsidRPr="006A5358" w:rsidRDefault="006A5358" w:rsidP="006A5358">
            <w:pPr>
              <w:spacing w:after="0" w:line="240" w:lineRule="auto"/>
              <w:jc w:val="right"/>
              <w:rPr>
                <w:rFonts w:ascii="Arial" w:eastAsia="Times New Roman" w:hAnsi="Arial" w:cs="Arial"/>
                <w:sz w:val="20"/>
                <w:szCs w:val="20"/>
              </w:rPr>
            </w:pPr>
            <w:r w:rsidRPr="006A5358">
              <w:rPr>
                <w:rFonts w:ascii="Arial" w:eastAsia="Times New Roman" w:hAnsi="Arial" w:cs="Arial"/>
                <w:sz w:val="20"/>
                <w:szCs w:val="20"/>
              </w:rPr>
              <w:t>2282.180</w:t>
            </w:r>
          </w:p>
        </w:tc>
      </w:tr>
    </w:tbl>
    <w:p w14:paraId="38493DC9" w14:textId="77777777" w:rsidR="006A5358" w:rsidRDefault="006A5358" w:rsidP="006A5358">
      <w:pPr>
        <w:pStyle w:val="Default"/>
        <w:ind w:left="720"/>
      </w:pPr>
    </w:p>
    <w:p w14:paraId="503F1736" w14:textId="77777777" w:rsidR="009620D1" w:rsidRDefault="009620D1" w:rsidP="009620D1">
      <w:pPr>
        <w:pStyle w:val="Default"/>
        <w:rPr>
          <w:sz w:val="23"/>
          <w:szCs w:val="23"/>
        </w:rPr>
      </w:pPr>
      <w:r>
        <w:rPr>
          <w:sz w:val="23"/>
          <w:szCs w:val="23"/>
        </w:rPr>
        <w:t xml:space="preserve">c) On the basis of the results of (a) through (b), if you had to tell the President </w:t>
      </w:r>
    </w:p>
    <w:p w14:paraId="1F6A5274" w14:textId="77777777" w:rsidR="009620D1" w:rsidRDefault="009620D1" w:rsidP="009620D1">
      <w:pPr>
        <w:pStyle w:val="Default"/>
        <w:rPr>
          <w:sz w:val="23"/>
          <w:szCs w:val="23"/>
        </w:rPr>
      </w:pPr>
      <w:proofErr w:type="gramStart"/>
      <w:r>
        <w:rPr>
          <w:sz w:val="23"/>
          <w:szCs w:val="23"/>
        </w:rPr>
        <w:t>of</w:t>
      </w:r>
      <w:proofErr w:type="gramEnd"/>
      <w:r>
        <w:rPr>
          <w:sz w:val="23"/>
          <w:szCs w:val="23"/>
        </w:rPr>
        <w:t xml:space="preserve"> the company how long a customer should expect to wait to have a </w:t>
      </w:r>
    </w:p>
    <w:p w14:paraId="4CE9EBD4" w14:textId="77777777" w:rsidR="009620D1" w:rsidRDefault="009620D1" w:rsidP="009620D1">
      <w:pPr>
        <w:pStyle w:val="Default"/>
        <w:rPr>
          <w:sz w:val="23"/>
          <w:szCs w:val="23"/>
        </w:rPr>
      </w:pPr>
      <w:proofErr w:type="gramStart"/>
      <w:r>
        <w:rPr>
          <w:sz w:val="23"/>
          <w:szCs w:val="23"/>
        </w:rPr>
        <w:t>complaint</w:t>
      </w:r>
      <w:proofErr w:type="gramEnd"/>
      <w:r>
        <w:rPr>
          <w:sz w:val="23"/>
          <w:szCs w:val="23"/>
        </w:rPr>
        <w:t xml:space="preserve"> resolved, what would you say? Explain the reasoning for your </w:t>
      </w:r>
    </w:p>
    <w:p w14:paraId="0FBCD994" w14:textId="78BB3D4F" w:rsidR="009620D1" w:rsidRDefault="009620D1" w:rsidP="009620D1">
      <w:pPr>
        <w:pStyle w:val="Default"/>
        <w:rPr>
          <w:sz w:val="23"/>
          <w:szCs w:val="23"/>
        </w:rPr>
      </w:pPr>
      <w:proofErr w:type="gramStart"/>
      <w:r>
        <w:rPr>
          <w:sz w:val="23"/>
          <w:szCs w:val="23"/>
        </w:rPr>
        <w:t>choice</w:t>
      </w:r>
      <w:proofErr w:type="gramEnd"/>
      <w:r>
        <w:rPr>
          <w:sz w:val="23"/>
          <w:szCs w:val="23"/>
        </w:rPr>
        <w:t xml:space="preserve">. </w:t>
      </w:r>
    </w:p>
    <w:p w14:paraId="422BEE72" w14:textId="2EAC1386" w:rsidR="006A5358" w:rsidRDefault="006A5358" w:rsidP="009620D1">
      <w:pPr>
        <w:pStyle w:val="Default"/>
        <w:rPr>
          <w:sz w:val="23"/>
          <w:szCs w:val="23"/>
        </w:rPr>
      </w:pPr>
      <w:r>
        <w:rPr>
          <w:sz w:val="23"/>
          <w:szCs w:val="23"/>
        </w:rPr>
        <w:t>Solution</w:t>
      </w:r>
    </w:p>
    <w:p w14:paraId="724CFB6E" w14:textId="21EFF733" w:rsidR="006A5358" w:rsidRDefault="006A5358" w:rsidP="009620D1">
      <w:pPr>
        <w:pStyle w:val="Default"/>
        <w:rPr>
          <w:sz w:val="23"/>
          <w:szCs w:val="23"/>
        </w:rPr>
      </w:pPr>
      <w:r w:rsidRPr="00747D96">
        <w:rPr>
          <w:i/>
          <w:sz w:val="23"/>
          <w:szCs w:val="23"/>
        </w:rPr>
        <w:t>I would say they should wait for 54.060 days. This is because mean takes the average of all days</w:t>
      </w:r>
      <w:r>
        <w:rPr>
          <w:sz w:val="23"/>
          <w:szCs w:val="23"/>
        </w:rPr>
        <w:t xml:space="preserve">. </w:t>
      </w:r>
    </w:p>
    <w:p w14:paraId="0DEB3673" w14:textId="4346DBF1" w:rsidR="00586706" w:rsidRDefault="00586706" w:rsidP="009620D1">
      <w:pPr>
        <w:pStyle w:val="Default"/>
        <w:rPr>
          <w:sz w:val="23"/>
          <w:szCs w:val="23"/>
        </w:rPr>
      </w:pPr>
      <w:r>
        <w:rPr>
          <w:sz w:val="23"/>
          <w:szCs w:val="23"/>
        </w:rPr>
        <w:t>5. What are the advantages and disadvantages of each measure of central tendency (Mean, Median and Mode) and cite an example where each measure would be the most appropriate measure of the middle?</w:t>
      </w:r>
    </w:p>
    <w:p w14:paraId="10709288" w14:textId="4C10CF99" w:rsidR="00586706" w:rsidRPr="00747D96" w:rsidRDefault="00586706" w:rsidP="009620D1">
      <w:pPr>
        <w:pStyle w:val="Default"/>
        <w:rPr>
          <w:i/>
          <w:sz w:val="23"/>
          <w:szCs w:val="23"/>
        </w:rPr>
      </w:pPr>
      <w:r w:rsidRPr="00747D96">
        <w:rPr>
          <w:i/>
          <w:sz w:val="23"/>
          <w:szCs w:val="23"/>
        </w:rPr>
        <w:t>Solution</w:t>
      </w:r>
    </w:p>
    <w:p w14:paraId="0039A8DA" w14:textId="524FFC44" w:rsidR="00586706" w:rsidRPr="00747D96" w:rsidRDefault="00586706" w:rsidP="009620D1">
      <w:pPr>
        <w:pStyle w:val="Default"/>
        <w:rPr>
          <w:i/>
          <w:sz w:val="23"/>
          <w:szCs w:val="23"/>
        </w:rPr>
      </w:pPr>
      <w:r w:rsidRPr="00747D96">
        <w:rPr>
          <w:i/>
          <w:sz w:val="23"/>
          <w:szCs w:val="23"/>
        </w:rPr>
        <w:t xml:space="preserve">The advantage of measures of central tendency is that they are easy to </w:t>
      </w:r>
      <w:r w:rsidR="00F27E96" w:rsidRPr="00747D96">
        <w:rPr>
          <w:i/>
          <w:sz w:val="23"/>
          <w:szCs w:val="23"/>
        </w:rPr>
        <w:t>compute,</w:t>
      </w:r>
      <w:r w:rsidRPr="00747D96">
        <w:rPr>
          <w:i/>
          <w:sz w:val="23"/>
          <w:szCs w:val="23"/>
        </w:rPr>
        <w:t xml:space="preserve"> and their disadvantage is that they can be misinterpreted. Mean is used when the data has no outliers and </w:t>
      </w:r>
      <w:proofErr w:type="gramStart"/>
      <w:r w:rsidRPr="00747D96">
        <w:rPr>
          <w:i/>
          <w:sz w:val="23"/>
          <w:szCs w:val="23"/>
        </w:rPr>
        <w:t>its</w:t>
      </w:r>
      <w:proofErr w:type="gramEnd"/>
      <w:r w:rsidRPr="00747D96">
        <w:rPr>
          <w:i/>
          <w:sz w:val="23"/>
          <w:szCs w:val="23"/>
        </w:rPr>
        <w:t xml:space="preserve"> negatively skewed. Median is used when the data is positively skewed while mode is used for ordinal data. </w:t>
      </w:r>
      <w:bookmarkStart w:id="0" w:name="_GoBack"/>
      <w:bookmarkEnd w:id="0"/>
    </w:p>
    <w:sectPr w:rsidR="00586706" w:rsidRPr="00747D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2F127D"/>
    <w:multiLevelType w:val="hybridMultilevel"/>
    <w:tmpl w:val="05F7BBE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1737C07"/>
    <w:multiLevelType w:val="hybridMultilevel"/>
    <w:tmpl w:val="8AE638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521554"/>
    <w:multiLevelType w:val="hybridMultilevel"/>
    <w:tmpl w:val="987C3B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9E3"/>
    <w:rsid w:val="004A78FD"/>
    <w:rsid w:val="00586706"/>
    <w:rsid w:val="00590A96"/>
    <w:rsid w:val="006A5358"/>
    <w:rsid w:val="00747D96"/>
    <w:rsid w:val="00844747"/>
    <w:rsid w:val="00944D23"/>
    <w:rsid w:val="009620D1"/>
    <w:rsid w:val="009859E3"/>
    <w:rsid w:val="00AA33D5"/>
    <w:rsid w:val="00ED31B8"/>
    <w:rsid w:val="00F27E96"/>
    <w:rsid w:val="00F66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25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59E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859E3"/>
    <w:pPr>
      <w:ind w:left="720"/>
      <w:contextualSpacing/>
    </w:pPr>
  </w:style>
  <w:style w:type="paragraph" w:styleId="BalloonText">
    <w:name w:val="Balloon Text"/>
    <w:basedOn w:val="Normal"/>
    <w:link w:val="BalloonTextChar"/>
    <w:uiPriority w:val="99"/>
    <w:semiHidden/>
    <w:unhideWhenUsed/>
    <w:rsid w:val="00747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D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59E3"/>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859E3"/>
    <w:pPr>
      <w:ind w:left="720"/>
      <w:contextualSpacing/>
    </w:pPr>
  </w:style>
  <w:style w:type="paragraph" w:styleId="BalloonText">
    <w:name w:val="Balloon Text"/>
    <w:basedOn w:val="Normal"/>
    <w:link w:val="BalloonTextChar"/>
    <w:uiPriority w:val="99"/>
    <w:semiHidden/>
    <w:unhideWhenUsed/>
    <w:rsid w:val="00747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D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806122">
      <w:bodyDiv w:val="1"/>
      <w:marLeft w:val="0"/>
      <w:marRight w:val="0"/>
      <w:marTop w:val="0"/>
      <w:marBottom w:val="0"/>
      <w:divBdr>
        <w:top w:val="none" w:sz="0" w:space="0" w:color="auto"/>
        <w:left w:val="none" w:sz="0" w:space="0" w:color="auto"/>
        <w:bottom w:val="none" w:sz="0" w:space="0" w:color="auto"/>
        <w:right w:val="none" w:sz="0" w:space="0" w:color="auto"/>
      </w:divBdr>
    </w:div>
    <w:div w:id="933854570">
      <w:bodyDiv w:val="1"/>
      <w:marLeft w:val="0"/>
      <w:marRight w:val="0"/>
      <w:marTop w:val="0"/>
      <w:marBottom w:val="0"/>
      <w:divBdr>
        <w:top w:val="none" w:sz="0" w:space="0" w:color="auto"/>
        <w:left w:val="none" w:sz="0" w:space="0" w:color="auto"/>
        <w:bottom w:val="none" w:sz="0" w:space="0" w:color="auto"/>
        <w:right w:val="none" w:sz="0" w:space="0" w:color="auto"/>
      </w:divBdr>
    </w:div>
    <w:div w:id="934437262">
      <w:bodyDiv w:val="1"/>
      <w:marLeft w:val="0"/>
      <w:marRight w:val="0"/>
      <w:marTop w:val="0"/>
      <w:marBottom w:val="0"/>
      <w:divBdr>
        <w:top w:val="none" w:sz="0" w:space="0" w:color="auto"/>
        <w:left w:val="none" w:sz="0" w:space="0" w:color="auto"/>
        <w:bottom w:val="none" w:sz="0" w:space="0" w:color="auto"/>
        <w:right w:val="none" w:sz="0" w:space="0" w:color="auto"/>
      </w:divBdr>
    </w:div>
    <w:div w:id="19691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3" Type="http://schemas.microsoft.com/office/2007/relationships/stylesWithEffects" Target="stylesWithEffects.xml"/><Relationship Id="rId7" Type="http://schemas.openxmlformats.org/officeDocument/2006/relationships/chart" Target="charts/chart2.xml"/><Relationship Id="rId12" Type="http://schemas.openxmlformats.org/officeDocument/2006/relationships/chart" Target="charts/chart7.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AIRCLEANERS_201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AIRCLEANERS_201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AIRCLEANERS_201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AIRCLEANERS_201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esktop\AIRCLEANERS_201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esktop\AIRCLEANERS_201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esktop\AIRCLEANERS_201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esktop\AIRCLEANERS_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Sheet2!$B$1</c:f>
              <c:strCache>
                <c:ptCount val="1"/>
                <c:pt idx="0">
                  <c:v>2017</c:v>
                </c:pt>
              </c:strCache>
            </c:strRef>
          </c:tx>
          <c:spPr>
            <a:solidFill>
              <a:schemeClr val="accent1"/>
            </a:solidFill>
            <a:ln>
              <a:noFill/>
            </a:ln>
            <a:effectLst/>
          </c:spPr>
          <c:invertIfNegative val="0"/>
          <c:cat>
            <c:strRef>
              <c:f>Sheet2!$A$2:$A$7</c:f>
              <c:strCache>
                <c:ptCount val="6"/>
                <c:pt idx="0">
                  <c:v>Bottled water</c:v>
                </c:pt>
                <c:pt idx="1">
                  <c:v>Dairy/ other</c:v>
                </c:pt>
                <c:pt idx="2">
                  <c:v>Energy drinks</c:v>
                </c:pt>
                <c:pt idx="3">
                  <c:v>Soft Drinks</c:v>
                </c:pt>
                <c:pt idx="4">
                  <c:v>Sports drinks</c:v>
                </c:pt>
                <c:pt idx="5">
                  <c:v>Tea</c:v>
                </c:pt>
              </c:strCache>
            </c:strRef>
          </c:cat>
          <c:val>
            <c:numRef>
              <c:f>Sheet2!$B$2:$B$7</c:f>
              <c:numCache>
                <c:formatCode>General</c:formatCode>
                <c:ptCount val="6"/>
                <c:pt idx="0">
                  <c:v>8.5</c:v>
                </c:pt>
                <c:pt idx="1">
                  <c:v>0.3</c:v>
                </c:pt>
                <c:pt idx="2">
                  <c:v>4.0999999999999996</c:v>
                </c:pt>
                <c:pt idx="3">
                  <c:v>46</c:v>
                </c:pt>
                <c:pt idx="4">
                  <c:v>4.9000000000000004</c:v>
                </c:pt>
                <c:pt idx="5">
                  <c:v>1.9</c:v>
                </c:pt>
              </c:numCache>
            </c:numRef>
          </c:val>
          <c:extLst xmlns:c16r2="http://schemas.microsoft.com/office/drawing/2015/06/chart">
            <c:ext xmlns:c16="http://schemas.microsoft.com/office/drawing/2014/chart" uri="{C3380CC4-5D6E-409C-BE32-E72D297353CC}">
              <c16:uniqueId val="{00000000-D2E0-461C-A50C-BA27F14F60D6}"/>
            </c:ext>
          </c:extLst>
        </c:ser>
        <c:dLbls>
          <c:showLegendKey val="0"/>
          <c:showVal val="0"/>
          <c:showCatName val="0"/>
          <c:showSerName val="0"/>
          <c:showPercent val="0"/>
          <c:showBubbleSize val="0"/>
        </c:dLbls>
        <c:gapWidth val="219"/>
        <c:overlap val="-27"/>
        <c:axId val="366937984"/>
        <c:axId val="366939520"/>
      </c:barChart>
      <c:catAx>
        <c:axId val="366937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939520"/>
        <c:crosses val="autoZero"/>
        <c:auto val="1"/>
        <c:lblAlgn val="ctr"/>
        <c:lblOffset val="100"/>
        <c:noMultiLvlLbl val="0"/>
      </c:catAx>
      <c:valAx>
        <c:axId val="3669395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937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Sheet2!$B$1</c:f>
              <c:strCache>
                <c:ptCount val="1"/>
                <c:pt idx="0">
                  <c:v>2017</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CB9-4BFA-BCE4-DC0E73D0E071}"/>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CB9-4BFA-BCE4-DC0E73D0E071}"/>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CB9-4BFA-BCE4-DC0E73D0E071}"/>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CB9-4BFA-BCE4-DC0E73D0E071}"/>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5CB9-4BFA-BCE4-DC0E73D0E071}"/>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5CB9-4BFA-BCE4-DC0E73D0E07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Sheet2!$A$2:$A$7</c:f>
              <c:strCache>
                <c:ptCount val="6"/>
                <c:pt idx="0">
                  <c:v>Bottled water</c:v>
                </c:pt>
                <c:pt idx="1">
                  <c:v>Dairy/ other</c:v>
                </c:pt>
                <c:pt idx="2">
                  <c:v>Energy drinks</c:v>
                </c:pt>
                <c:pt idx="3">
                  <c:v>Soft Drinks</c:v>
                </c:pt>
                <c:pt idx="4">
                  <c:v>Sports drinks</c:v>
                </c:pt>
                <c:pt idx="5">
                  <c:v>Tea</c:v>
                </c:pt>
              </c:strCache>
            </c:strRef>
          </c:cat>
          <c:val>
            <c:numRef>
              <c:f>Sheet2!$B$2:$B$7</c:f>
              <c:numCache>
                <c:formatCode>General</c:formatCode>
                <c:ptCount val="6"/>
                <c:pt idx="0">
                  <c:v>8.5</c:v>
                </c:pt>
                <c:pt idx="1">
                  <c:v>0.3</c:v>
                </c:pt>
                <c:pt idx="2">
                  <c:v>4.0999999999999996</c:v>
                </c:pt>
                <c:pt idx="3">
                  <c:v>46</c:v>
                </c:pt>
                <c:pt idx="4">
                  <c:v>4.9000000000000004</c:v>
                </c:pt>
                <c:pt idx="5">
                  <c:v>1.9</c:v>
                </c:pt>
              </c:numCache>
            </c:numRef>
          </c:val>
          <c:extLst xmlns:c16r2="http://schemas.microsoft.com/office/drawing/2015/06/chart">
            <c:ext xmlns:c16="http://schemas.microsoft.com/office/drawing/2014/chart" uri="{C3380CC4-5D6E-409C-BE32-E72D297353CC}">
              <c16:uniqueId val="{0000000C-5CB9-4BFA-BCE4-DC0E73D0E071}"/>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Sheet2!$B$11</c:f>
              <c:strCache>
                <c:ptCount val="1"/>
                <c:pt idx="0">
                  <c:v>2018</c:v>
                </c:pt>
              </c:strCache>
            </c:strRef>
          </c:tx>
          <c:spPr>
            <a:solidFill>
              <a:schemeClr val="accent1"/>
            </a:solidFill>
            <a:ln>
              <a:noFill/>
            </a:ln>
            <a:effectLst/>
          </c:spPr>
          <c:invertIfNegative val="0"/>
          <c:cat>
            <c:strRef>
              <c:f>Sheet2!$A$12:$A$17</c:f>
              <c:strCache>
                <c:ptCount val="6"/>
                <c:pt idx="0">
                  <c:v>Bottled water</c:v>
                </c:pt>
                <c:pt idx="1">
                  <c:v>Dairy/ other</c:v>
                </c:pt>
                <c:pt idx="2">
                  <c:v>Energy drinks</c:v>
                </c:pt>
                <c:pt idx="3">
                  <c:v>Soft Drinks</c:v>
                </c:pt>
                <c:pt idx="4">
                  <c:v>Sports drinks</c:v>
                </c:pt>
                <c:pt idx="5">
                  <c:v>Tea</c:v>
                </c:pt>
              </c:strCache>
            </c:strRef>
          </c:cat>
          <c:val>
            <c:numRef>
              <c:f>Sheet2!$B$12:$B$17</c:f>
              <c:numCache>
                <c:formatCode>General</c:formatCode>
                <c:ptCount val="6"/>
                <c:pt idx="0">
                  <c:v>10.1</c:v>
                </c:pt>
                <c:pt idx="1">
                  <c:v>0.3</c:v>
                </c:pt>
                <c:pt idx="2">
                  <c:v>4.7</c:v>
                </c:pt>
                <c:pt idx="3">
                  <c:v>44</c:v>
                </c:pt>
                <c:pt idx="4">
                  <c:v>6.8</c:v>
                </c:pt>
                <c:pt idx="5">
                  <c:v>2.4</c:v>
                </c:pt>
              </c:numCache>
            </c:numRef>
          </c:val>
          <c:extLst xmlns:c16r2="http://schemas.microsoft.com/office/drawing/2015/06/chart">
            <c:ext xmlns:c16="http://schemas.microsoft.com/office/drawing/2014/chart" uri="{C3380CC4-5D6E-409C-BE32-E72D297353CC}">
              <c16:uniqueId val="{00000000-D278-4250-B20C-9861715D18DC}"/>
            </c:ext>
          </c:extLst>
        </c:ser>
        <c:dLbls>
          <c:showLegendKey val="0"/>
          <c:showVal val="0"/>
          <c:showCatName val="0"/>
          <c:showSerName val="0"/>
          <c:showPercent val="0"/>
          <c:showBubbleSize val="0"/>
        </c:dLbls>
        <c:gapWidth val="219"/>
        <c:overlap val="-27"/>
        <c:axId val="377486720"/>
        <c:axId val="377877632"/>
      </c:barChart>
      <c:catAx>
        <c:axId val="377486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877632"/>
        <c:crosses val="autoZero"/>
        <c:auto val="1"/>
        <c:lblAlgn val="ctr"/>
        <c:lblOffset val="100"/>
        <c:noMultiLvlLbl val="0"/>
      </c:catAx>
      <c:valAx>
        <c:axId val="3778776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48672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Sheet2!$B$11</c:f>
              <c:strCache>
                <c:ptCount val="1"/>
                <c:pt idx="0">
                  <c:v>2018</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7A3-4904-AFED-9798D0E3AFB1}"/>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7A3-4904-AFED-9798D0E3AFB1}"/>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7A3-4904-AFED-9798D0E3AFB1}"/>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7A3-4904-AFED-9798D0E3AFB1}"/>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57A3-4904-AFED-9798D0E3AFB1}"/>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57A3-4904-AFED-9798D0E3AFB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Sheet2!$A$12:$A$17</c:f>
              <c:strCache>
                <c:ptCount val="6"/>
                <c:pt idx="0">
                  <c:v>Bottled water</c:v>
                </c:pt>
                <c:pt idx="1">
                  <c:v>Dairy/ other</c:v>
                </c:pt>
                <c:pt idx="2">
                  <c:v>Energy drinks</c:v>
                </c:pt>
                <c:pt idx="3">
                  <c:v>Soft Drinks</c:v>
                </c:pt>
                <c:pt idx="4">
                  <c:v>Sports drinks</c:v>
                </c:pt>
                <c:pt idx="5">
                  <c:v>Tea</c:v>
                </c:pt>
              </c:strCache>
            </c:strRef>
          </c:cat>
          <c:val>
            <c:numRef>
              <c:f>Sheet2!$B$12:$B$17</c:f>
              <c:numCache>
                <c:formatCode>General</c:formatCode>
                <c:ptCount val="6"/>
                <c:pt idx="0">
                  <c:v>10.1</c:v>
                </c:pt>
                <c:pt idx="1">
                  <c:v>0.3</c:v>
                </c:pt>
                <c:pt idx="2">
                  <c:v>4.7</c:v>
                </c:pt>
                <c:pt idx="3">
                  <c:v>44</c:v>
                </c:pt>
                <c:pt idx="4">
                  <c:v>6.8</c:v>
                </c:pt>
                <c:pt idx="5">
                  <c:v>2.4</c:v>
                </c:pt>
              </c:numCache>
            </c:numRef>
          </c:val>
          <c:extLst xmlns:c16r2="http://schemas.microsoft.com/office/drawing/2015/06/chart">
            <c:ext xmlns:c16="http://schemas.microsoft.com/office/drawing/2014/chart" uri="{C3380CC4-5D6E-409C-BE32-E72D297353CC}">
              <c16:uniqueId val="{0000000C-57A3-4904-AFED-9798D0E3AFB1}"/>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Sheet2!$B$20</c:f>
              <c:strCache>
                <c:ptCount val="1"/>
                <c:pt idx="0">
                  <c:v>2019</c:v>
                </c:pt>
              </c:strCache>
            </c:strRef>
          </c:tx>
          <c:spPr>
            <a:solidFill>
              <a:schemeClr val="accent1"/>
            </a:solidFill>
            <a:ln>
              <a:noFill/>
            </a:ln>
            <a:effectLst/>
          </c:spPr>
          <c:invertIfNegative val="0"/>
          <c:cat>
            <c:strRef>
              <c:f>Sheet2!$A$21:$A$26</c:f>
              <c:strCache>
                <c:ptCount val="6"/>
                <c:pt idx="0">
                  <c:v>Bottled water</c:v>
                </c:pt>
                <c:pt idx="1">
                  <c:v>Dairy/ other</c:v>
                </c:pt>
                <c:pt idx="2">
                  <c:v>Energy drinks</c:v>
                </c:pt>
                <c:pt idx="3">
                  <c:v>Soft Drinks</c:v>
                </c:pt>
                <c:pt idx="4">
                  <c:v>Sports drinks</c:v>
                </c:pt>
                <c:pt idx="5">
                  <c:v>Tea</c:v>
                </c:pt>
              </c:strCache>
            </c:strRef>
          </c:cat>
          <c:val>
            <c:numRef>
              <c:f>Sheet2!$B$21:$B$26</c:f>
              <c:numCache>
                <c:formatCode>General</c:formatCode>
                <c:ptCount val="6"/>
                <c:pt idx="0">
                  <c:v>11.7</c:v>
                </c:pt>
                <c:pt idx="1">
                  <c:v>0.3</c:v>
                </c:pt>
                <c:pt idx="2">
                  <c:v>6.8</c:v>
                </c:pt>
                <c:pt idx="3">
                  <c:v>40.5</c:v>
                </c:pt>
                <c:pt idx="4">
                  <c:v>9.5</c:v>
                </c:pt>
                <c:pt idx="5">
                  <c:v>2.1</c:v>
                </c:pt>
              </c:numCache>
            </c:numRef>
          </c:val>
          <c:extLst xmlns:c16r2="http://schemas.microsoft.com/office/drawing/2015/06/chart">
            <c:ext xmlns:c16="http://schemas.microsoft.com/office/drawing/2014/chart" uri="{C3380CC4-5D6E-409C-BE32-E72D297353CC}">
              <c16:uniqueId val="{00000000-2015-4342-BBCE-E1F1A2A08F10}"/>
            </c:ext>
          </c:extLst>
        </c:ser>
        <c:dLbls>
          <c:showLegendKey val="0"/>
          <c:showVal val="0"/>
          <c:showCatName val="0"/>
          <c:showSerName val="0"/>
          <c:showPercent val="0"/>
          <c:showBubbleSize val="0"/>
        </c:dLbls>
        <c:gapWidth val="219"/>
        <c:overlap val="-27"/>
        <c:axId val="382306176"/>
        <c:axId val="382307712"/>
      </c:barChart>
      <c:catAx>
        <c:axId val="382306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307712"/>
        <c:crosses val="autoZero"/>
        <c:auto val="1"/>
        <c:lblAlgn val="ctr"/>
        <c:lblOffset val="100"/>
        <c:noMultiLvlLbl val="0"/>
      </c:catAx>
      <c:valAx>
        <c:axId val="3823077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3061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Sheet2!$B$20</c:f>
              <c:strCache>
                <c:ptCount val="1"/>
                <c:pt idx="0">
                  <c:v>2019</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8B1-4B35-ABB4-0B02F605F96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8B1-4B35-ABB4-0B02F605F96F}"/>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8B1-4B35-ABB4-0B02F605F96F}"/>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B8B1-4B35-ABB4-0B02F605F96F}"/>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B8B1-4B35-ABB4-0B02F605F96F}"/>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B8B1-4B35-ABB4-0B02F605F96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Sheet2!$A$21:$A$26</c:f>
              <c:strCache>
                <c:ptCount val="6"/>
                <c:pt idx="0">
                  <c:v>Bottled water</c:v>
                </c:pt>
                <c:pt idx="1">
                  <c:v>Dairy/ other</c:v>
                </c:pt>
                <c:pt idx="2">
                  <c:v>Energy drinks</c:v>
                </c:pt>
                <c:pt idx="3">
                  <c:v>Soft Drinks</c:v>
                </c:pt>
                <c:pt idx="4">
                  <c:v>Sports drinks</c:v>
                </c:pt>
                <c:pt idx="5">
                  <c:v>Tea</c:v>
                </c:pt>
              </c:strCache>
            </c:strRef>
          </c:cat>
          <c:val>
            <c:numRef>
              <c:f>Sheet2!$B$21:$B$26</c:f>
              <c:numCache>
                <c:formatCode>General</c:formatCode>
                <c:ptCount val="6"/>
                <c:pt idx="0">
                  <c:v>11.7</c:v>
                </c:pt>
                <c:pt idx="1">
                  <c:v>0.3</c:v>
                </c:pt>
                <c:pt idx="2">
                  <c:v>6.8</c:v>
                </c:pt>
                <c:pt idx="3">
                  <c:v>40.5</c:v>
                </c:pt>
                <c:pt idx="4">
                  <c:v>9.5</c:v>
                </c:pt>
                <c:pt idx="5">
                  <c:v>2.1</c:v>
                </c:pt>
              </c:numCache>
            </c:numRef>
          </c:val>
          <c:extLst xmlns:c16r2="http://schemas.microsoft.com/office/drawing/2015/06/chart">
            <c:ext xmlns:c16="http://schemas.microsoft.com/office/drawing/2014/chart" uri="{C3380CC4-5D6E-409C-BE32-E72D297353CC}">
              <c16:uniqueId val="{0000000C-B8B1-4B35-ABB4-0B02F605F96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Side by Side bar</a:t>
            </a:r>
          </a:p>
        </c:rich>
      </c:tx>
      <c:overlay val="0"/>
      <c:spPr>
        <a:noFill/>
        <a:ln>
          <a:noFill/>
        </a:ln>
        <a:effectLst/>
      </c:spPr>
    </c:title>
    <c:autoTitleDeleted val="0"/>
    <c:plotArea>
      <c:layout/>
      <c:barChart>
        <c:barDir val="col"/>
        <c:grouping val="clustered"/>
        <c:varyColors val="0"/>
        <c:ser>
          <c:idx val="0"/>
          <c:order val="0"/>
          <c:tx>
            <c:strRef>
              <c:f>Sheet2!$B$1</c:f>
              <c:strCache>
                <c:ptCount val="1"/>
                <c:pt idx="0">
                  <c:v>2017</c:v>
                </c:pt>
              </c:strCache>
            </c:strRef>
          </c:tx>
          <c:spPr>
            <a:solidFill>
              <a:schemeClr val="accent1"/>
            </a:solidFill>
            <a:ln>
              <a:noFill/>
            </a:ln>
            <a:effectLst/>
          </c:spPr>
          <c:invertIfNegative val="0"/>
          <c:cat>
            <c:strRef>
              <c:f>Sheet2!$A$2:$A$7</c:f>
              <c:strCache>
                <c:ptCount val="6"/>
                <c:pt idx="0">
                  <c:v>Bottled water</c:v>
                </c:pt>
                <c:pt idx="1">
                  <c:v>Dairy/ other</c:v>
                </c:pt>
                <c:pt idx="2">
                  <c:v>Energy drinks</c:v>
                </c:pt>
                <c:pt idx="3">
                  <c:v>Soft Drinks</c:v>
                </c:pt>
                <c:pt idx="4">
                  <c:v>Sports drinks</c:v>
                </c:pt>
                <c:pt idx="5">
                  <c:v>Tea</c:v>
                </c:pt>
              </c:strCache>
            </c:strRef>
          </c:cat>
          <c:val>
            <c:numRef>
              <c:f>Sheet2!$B$2:$B$7</c:f>
              <c:numCache>
                <c:formatCode>General</c:formatCode>
                <c:ptCount val="6"/>
                <c:pt idx="0">
                  <c:v>8.5</c:v>
                </c:pt>
                <c:pt idx="1">
                  <c:v>0.3</c:v>
                </c:pt>
                <c:pt idx="2">
                  <c:v>4.0999999999999996</c:v>
                </c:pt>
                <c:pt idx="3">
                  <c:v>46</c:v>
                </c:pt>
                <c:pt idx="4">
                  <c:v>4.9000000000000004</c:v>
                </c:pt>
                <c:pt idx="5">
                  <c:v>1.9</c:v>
                </c:pt>
              </c:numCache>
            </c:numRef>
          </c:val>
          <c:extLst xmlns:c16r2="http://schemas.microsoft.com/office/drawing/2015/06/chart">
            <c:ext xmlns:c16="http://schemas.microsoft.com/office/drawing/2014/chart" uri="{C3380CC4-5D6E-409C-BE32-E72D297353CC}">
              <c16:uniqueId val="{00000000-367D-417D-A07D-DD37B088CA8F}"/>
            </c:ext>
          </c:extLst>
        </c:ser>
        <c:ser>
          <c:idx val="1"/>
          <c:order val="1"/>
          <c:tx>
            <c:strRef>
              <c:f>Sheet2!$C$1</c:f>
              <c:strCache>
                <c:ptCount val="1"/>
                <c:pt idx="0">
                  <c:v>2018</c:v>
                </c:pt>
              </c:strCache>
            </c:strRef>
          </c:tx>
          <c:spPr>
            <a:solidFill>
              <a:schemeClr val="accent2"/>
            </a:solidFill>
            <a:ln>
              <a:noFill/>
            </a:ln>
            <a:effectLst/>
          </c:spPr>
          <c:invertIfNegative val="0"/>
          <c:cat>
            <c:strRef>
              <c:f>Sheet2!$A$2:$A$7</c:f>
              <c:strCache>
                <c:ptCount val="6"/>
                <c:pt idx="0">
                  <c:v>Bottled water</c:v>
                </c:pt>
                <c:pt idx="1">
                  <c:v>Dairy/ other</c:v>
                </c:pt>
                <c:pt idx="2">
                  <c:v>Energy drinks</c:v>
                </c:pt>
                <c:pt idx="3">
                  <c:v>Soft Drinks</c:v>
                </c:pt>
                <c:pt idx="4">
                  <c:v>Sports drinks</c:v>
                </c:pt>
                <c:pt idx="5">
                  <c:v>Tea</c:v>
                </c:pt>
              </c:strCache>
            </c:strRef>
          </c:cat>
          <c:val>
            <c:numRef>
              <c:f>Sheet2!$C$2:$C$7</c:f>
              <c:numCache>
                <c:formatCode>General</c:formatCode>
                <c:ptCount val="6"/>
                <c:pt idx="0">
                  <c:v>10.1</c:v>
                </c:pt>
                <c:pt idx="1">
                  <c:v>0.3</c:v>
                </c:pt>
                <c:pt idx="2">
                  <c:v>4.7</c:v>
                </c:pt>
                <c:pt idx="3">
                  <c:v>44</c:v>
                </c:pt>
                <c:pt idx="4">
                  <c:v>6.8</c:v>
                </c:pt>
                <c:pt idx="5">
                  <c:v>2.4</c:v>
                </c:pt>
              </c:numCache>
            </c:numRef>
          </c:val>
          <c:extLst xmlns:c16r2="http://schemas.microsoft.com/office/drawing/2015/06/chart">
            <c:ext xmlns:c16="http://schemas.microsoft.com/office/drawing/2014/chart" uri="{C3380CC4-5D6E-409C-BE32-E72D297353CC}">
              <c16:uniqueId val="{00000001-367D-417D-A07D-DD37B088CA8F}"/>
            </c:ext>
          </c:extLst>
        </c:ser>
        <c:ser>
          <c:idx val="2"/>
          <c:order val="2"/>
          <c:tx>
            <c:strRef>
              <c:f>Sheet2!$D$1</c:f>
              <c:strCache>
                <c:ptCount val="1"/>
                <c:pt idx="0">
                  <c:v>2019</c:v>
                </c:pt>
              </c:strCache>
            </c:strRef>
          </c:tx>
          <c:spPr>
            <a:solidFill>
              <a:schemeClr val="accent3"/>
            </a:solidFill>
            <a:ln>
              <a:noFill/>
            </a:ln>
            <a:effectLst/>
          </c:spPr>
          <c:invertIfNegative val="0"/>
          <c:cat>
            <c:strRef>
              <c:f>Sheet2!$A$2:$A$7</c:f>
              <c:strCache>
                <c:ptCount val="6"/>
                <c:pt idx="0">
                  <c:v>Bottled water</c:v>
                </c:pt>
                <c:pt idx="1">
                  <c:v>Dairy/ other</c:v>
                </c:pt>
                <c:pt idx="2">
                  <c:v>Energy drinks</c:v>
                </c:pt>
                <c:pt idx="3">
                  <c:v>Soft Drinks</c:v>
                </c:pt>
                <c:pt idx="4">
                  <c:v>Sports drinks</c:v>
                </c:pt>
                <c:pt idx="5">
                  <c:v>Tea</c:v>
                </c:pt>
              </c:strCache>
            </c:strRef>
          </c:cat>
          <c:val>
            <c:numRef>
              <c:f>Sheet2!$D$2:$D$7</c:f>
              <c:numCache>
                <c:formatCode>General</c:formatCode>
                <c:ptCount val="6"/>
                <c:pt idx="0">
                  <c:v>11.7</c:v>
                </c:pt>
                <c:pt idx="1">
                  <c:v>0.3</c:v>
                </c:pt>
                <c:pt idx="2">
                  <c:v>6.8</c:v>
                </c:pt>
                <c:pt idx="3">
                  <c:v>40.5</c:v>
                </c:pt>
                <c:pt idx="4">
                  <c:v>9.5</c:v>
                </c:pt>
                <c:pt idx="5">
                  <c:v>2.1</c:v>
                </c:pt>
              </c:numCache>
            </c:numRef>
          </c:val>
          <c:extLst xmlns:c16r2="http://schemas.microsoft.com/office/drawing/2015/06/chart">
            <c:ext xmlns:c16="http://schemas.microsoft.com/office/drawing/2014/chart" uri="{C3380CC4-5D6E-409C-BE32-E72D297353CC}">
              <c16:uniqueId val="{00000002-367D-417D-A07D-DD37B088CA8F}"/>
            </c:ext>
          </c:extLst>
        </c:ser>
        <c:dLbls>
          <c:showLegendKey val="0"/>
          <c:showVal val="0"/>
          <c:showCatName val="0"/>
          <c:showSerName val="0"/>
          <c:showPercent val="0"/>
          <c:showBubbleSize val="0"/>
        </c:dLbls>
        <c:gapWidth val="219"/>
        <c:overlap val="-27"/>
        <c:axId val="382442112"/>
        <c:axId val="382443904"/>
      </c:barChart>
      <c:catAx>
        <c:axId val="382442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443904"/>
        <c:crosses val="autoZero"/>
        <c:auto val="1"/>
        <c:lblAlgn val="ctr"/>
        <c:lblOffset val="100"/>
        <c:noMultiLvlLbl val="0"/>
      </c:catAx>
      <c:valAx>
        <c:axId val="38244390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442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Price against Energy Cost</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spPr>
              <a:ln w="3175"/>
            </c:spPr>
            <c:trendlineType val="linear"/>
            <c:dispRSqr val="1"/>
            <c:dispEq val="1"/>
            <c:trendlineLbl>
              <c:layout>
                <c:manualLayout>
                  <c:x val="0.17391561875661066"/>
                  <c:y val="0.12645606799150105"/>
                </c:manualLayout>
              </c:layout>
              <c:numFmt formatCode="#,##0.000\ ;\-#,##0.000\ " sourceLinked="0"/>
              <c:txPr>
                <a:bodyPr/>
                <a:lstStyle/>
                <a:p>
                  <a:pPr>
                    <a:defRPr sz="1000" b="0" i="0" baseline="0">
                      <a:latin typeface="Arial"/>
                      <a:ea typeface="Arial"/>
                      <a:cs typeface="Arial"/>
                    </a:defRPr>
                  </a:pPr>
                  <a:endParaRPr lang="en-US"/>
                </a:p>
              </c:txPr>
            </c:trendlineLbl>
          </c:trendline>
          <c:xVal>
            <c:numRef>
              <c:f>Data!$C$2:$C$16</c:f>
              <c:numCache>
                <c:formatCode>General</c:formatCode>
                <c:ptCount val="15"/>
                <c:pt idx="0">
                  <c:v>55</c:v>
                </c:pt>
                <c:pt idx="1">
                  <c:v>63</c:v>
                </c:pt>
                <c:pt idx="2">
                  <c:v>62</c:v>
                </c:pt>
                <c:pt idx="3">
                  <c:v>63</c:v>
                </c:pt>
                <c:pt idx="4">
                  <c:v>94</c:v>
                </c:pt>
                <c:pt idx="5">
                  <c:v>105</c:v>
                </c:pt>
                <c:pt idx="6">
                  <c:v>65</c:v>
                </c:pt>
                <c:pt idx="7">
                  <c:v>68</c:v>
                </c:pt>
                <c:pt idx="8">
                  <c:v>44</c:v>
                </c:pt>
                <c:pt idx="9">
                  <c:v>56</c:v>
                </c:pt>
                <c:pt idx="10">
                  <c:v>25</c:v>
                </c:pt>
                <c:pt idx="11">
                  <c:v>80</c:v>
                </c:pt>
                <c:pt idx="12">
                  <c:v>42</c:v>
                </c:pt>
                <c:pt idx="13">
                  <c:v>24</c:v>
                </c:pt>
                <c:pt idx="14">
                  <c:v>53</c:v>
                </c:pt>
              </c:numCache>
            </c:numRef>
          </c:xVal>
          <c:yVal>
            <c:numRef>
              <c:f>Data!$B$2:$B$16</c:f>
              <c:numCache>
                <c:formatCode>General</c:formatCode>
                <c:ptCount val="15"/>
                <c:pt idx="0">
                  <c:v>475</c:v>
                </c:pt>
                <c:pt idx="1">
                  <c:v>250</c:v>
                </c:pt>
                <c:pt idx="2">
                  <c:v>220</c:v>
                </c:pt>
                <c:pt idx="3">
                  <c:v>200</c:v>
                </c:pt>
                <c:pt idx="4">
                  <c:v>180</c:v>
                </c:pt>
                <c:pt idx="5">
                  <c:v>170</c:v>
                </c:pt>
                <c:pt idx="6">
                  <c:v>170</c:v>
                </c:pt>
                <c:pt idx="7">
                  <c:v>170</c:v>
                </c:pt>
                <c:pt idx="8">
                  <c:v>160</c:v>
                </c:pt>
                <c:pt idx="9">
                  <c:v>170</c:v>
                </c:pt>
                <c:pt idx="10">
                  <c:v>220</c:v>
                </c:pt>
                <c:pt idx="11">
                  <c:v>200</c:v>
                </c:pt>
                <c:pt idx="12">
                  <c:v>160</c:v>
                </c:pt>
                <c:pt idx="13">
                  <c:v>120</c:v>
                </c:pt>
                <c:pt idx="14">
                  <c:v>130</c:v>
                </c:pt>
              </c:numCache>
            </c:numRef>
          </c:yVal>
          <c:smooth val="0"/>
          <c:extLst xmlns:c16r2="http://schemas.microsoft.com/office/drawing/2015/06/chart">
            <c:ext xmlns:c16="http://schemas.microsoft.com/office/drawing/2014/chart" uri="{C3380CC4-5D6E-409C-BE32-E72D297353CC}">
              <c16:uniqueId val="{00000001-6708-4BDA-92E1-2E70C58EA650}"/>
            </c:ext>
          </c:extLst>
        </c:ser>
        <c:dLbls>
          <c:showLegendKey val="0"/>
          <c:showVal val="0"/>
          <c:showCatName val="0"/>
          <c:showSerName val="0"/>
          <c:showPercent val="0"/>
          <c:showBubbleSize val="0"/>
        </c:dLbls>
        <c:axId val="382470016"/>
        <c:axId val="382472192"/>
      </c:scatterChart>
      <c:valAx>
        <c:axId val="382470016"/>
        <c:scaling>
          <c:orientation val="minMax"/>
        </c:scaling>
        <c:delete val="0"/>
        <c:axPos val="b"/>
        <c:title>
          <c:tx>
            <c:rich>
              <a:bodyPr/>
              <a:lstStyle/>
              <a:p>
                <a:pPr>
                  <a:defRPr sz="1000" b="0" i="0">
                    <a:latin typeface="Arial"/>
                    <a:ea typeface="Arial"/>
                    <a:cs typeface="Arial"/>
                  </a:defRPr>
                </a:pPr>
                <a:r>
                  <a:rPr lang="en-US"/>
                  <a:t>Energy Cost ($)</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382472192"/>
        <c:crosses val="autoZero"/>
        <c:crossBetween val="midCat"/>
      </c:valAx>
      <c:valAx>
        <c:axId val="382472192"/>
        <c:scaling>
          <c:orientation val="minMax"/>
        </c:scaling>
        <c:delete val="0"/>
        <c:axPos val="l"/>
        <c:title>
          <c:tx>
            <c:rich>
              <a:bodyPr/>
              <a:lstStyle/>
              <a:p>
                <a:pPr>
                  <a:defRPr sz="1000" b="0" i="0">
                    <a:latin typeface="Arial"/>
                    <a:ea typeface="Arial"/>
                    <a:cs typeface="Arial"/>
                  </a:defRPr>
                </a:pPr>
                <a:r>
                  <a:rPr lang="en-US"/>
                  <a:t>Price ($)</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382470016"/>
        <c:crosses val="autoZero"/>
        <c:crossBetween val="midCat"/>
      </c:valAx>
      <c:spPr>
        <a:noFill/>
        <a:ln w="25400">
          <a:noFill/>
        </a:ln>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2019-09-15T22:44:00Z</dcterms:created>
  <dcterms:modified xsi:type="dcterms:W3CDTF">2019-09-15T22:44:00Z</dcterms:modified>
</cp:coreProperties>
</file>